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6B" w:rsidRPr="00036553" w:rsidRDefault="0016126B" w:rsidP="00386D08">
      <w:pPr>
        <w:jc w:val="both"/>
        <w:rPr>
          <w:sz w:val="36"/>
          <w:szCs w:val="36"/>
        </w:rPr>
      </w:pPr>
    </w:p>
    <w:p w:rsidR="00CA0385" w:rsidRDefault="00CA0385" w:rsidP="00386D08">
      <w:pPr>
        <w:ind w:left="-284"/>
        <w:jc w:val="both"/>
        <w:rPr>
          <w:sz w:val="36"/>
          <w:szCs w:val="36"/>
        </w:rPr>
      </w:pPr>
    </w:p>
    <w:p w:rsidR="0074790B" w:rsidRPr="00036553" w:rsidRDefault="0074790B" w:rsidP="00386D08">
      <w:pPr>
        <w:ind w:left="-284"/>
        <w:jc w:val="both"/>
        <w:rPr>
          <w:sz w:val="36"/>
          <w:szCs w:val="36"/>
        </w:rPr>
      </w:pPr>
    </w:p>
    <w:p w:rsidR="00CA0385" w:rsidRPr="003E7F65" w:rsidRDefault="009240C8" w:rsidP="00386D08">
      <w:pPr>
        <w:ind w:left="-284"/>
        <w:jc w:val="center"/>
        <w:rPr>
          <w:rFonts w:ascii="Tahoma" w:hAnsi="Tahoma" w:cs="Tahoma"/>
          <w:b/>
          <w:bCs/>
          <w:sz w:val="36"/>
          <w:szCs w:val="36"/>
          <w:lang w:val="ro-RO"/>
        </w:rPr>
      </w:pPr>
      <w:r>
        <w:rPr>
          <w:rFonts w:ascii="Tahoma" w:hAnsi="Tahoma" w:cs="Tahoma"/>
          <w:b/>
          <w:bCs/>
          <w:sz w:val="36"/>
          <w:szCs w:val="36"/>
        </w:rPr>
        <w:t xml:space="preserve">Scrisoare deschisă </w:t>
      </w:r>
      <w:r w:rsidR="005F0738">
        <w:rPr>
          <w:rFonts w:ascii="Tahoma" w:hAnsi="Tahoma" w:cs="Tahoma"/>
          <w:b/>
          <w:bCs/>
          <w:sz w:val="36"/>
          <w:szCs w:val="36"/>
        </w:rPr>
        <w:t>adresată Guvernului României</w:t>
      </w:r>
    </w:p>
    <w:p w:rsidR="00550436" w:rsidRDefault="00550436" w:rsidP="00386D08">
      <w:pPr>
        <w:ind w:left="-284"/>
        <w:jc w:val="center"/>
        <w:rPr>
          <w:b/>
          <w:bCs/>
          <w:sz w:val="36"/>
          <w:szCs w:val="36"/>
          <w:lang w:val="ro-RO"/>
        </w:rPr>
      </w:pPr>
    </w:p>
    <w:p w:rsidR="003E7F65" w:rsidRDefault="003E7F65" w:rsidP="00386D08">
      <w:pPr>
        <w:ind w:left="-284"/>
        <w:jc w:val="center"/>
        <w:rPr>
          <w:b/>
          <w:bCs/>
          <w:sz w:val="36"/>
          <w:szCs w:val="36"/>
          <w:lang w:val="ro-RO"/>
        </w:rPr>
      </w:pPr>
    </w:p>
    <w:p w:rsidR="00415727" w:rsidRPr="00550436" w:rsidRDefault="00415727" w:rsidP="00386D08">
      <w:pPr>
        <w:ind w:left="-284"/>
        <w:jc w:val="center"/>
        <w:rPr>
          <w:b/>
          <w:bCs/>
          <w:sz w:val="36"/>
          <w:szCs w:val="36"/>
          <w:lang w:val="ro-RO"/>
        </w:rPr>
      </w:pPr>
    </w:p>
    <w:p w:rsidR="005F0738" w:rsidRDefault="005F0738" w:rsidP="005F0738">
      <w:pPr>
        <w:spacing w:line="360" w:lineRule="auto"/>
        <w:rPr>
          <w:rFonts w:ascii="Tahoma" w:hAnsi="Tahoma" w:cs="Tahoma"/>
          <w:sz w:val="28"/>
          <w:szCs w:val="28"/>
        </w:rPr>
      </w:pPr>
      <w:r>
        <w:rPr>
          <w:rFonts w:ascii="Tahoma" w:hAnsi="Tahoma" w:cs="Tahoma"/>
          <w:sz w:val="28"/>
          <w:szCs w:val="28"/>
        </w:rPr>
        <w:t xml:space="preserve">A.P.P. solicită Guvernului să-i informeze pe români dacă dincolo de preocupările pentru amânarea ”rotativei”, este adevărat că Virgil Popescu și-a impus punctul de vedere, ca un adevărat șef de facto al administrației guvernamentale, și a obținut subvenționarea suplimentară a multinaționalelor străine care operează în furnizarea energiei electrice, gaze și combustibili? </w:t>
      </w:r>
    </w:p>
    <w:p w:rsidR="005F0738" w:rsidRDefault="005F0738" w:rsidP="005F0738">
      <w:pPr>
        <w:spacing w:line="360" w:lineRule="auto"/>
        <w:rPr>
          <w:rFonts w:ascii="Tahoma" w:hAnsi="Tahoma" w:cs="Tahoma"/>
          <w:sz w:val="28"/>
          <w:szCs w:val="28"/>
        </w:rPr>
      </w:pPr>
      <w:r>
        <w:rPr>
          <w:rFonts w:ascii="Tahoma" w:hAnsi="Tahoma" w:cs="Tahoma"/>
          <w:sz w:val="28"/>
          <w:szCs w:val="28"/>
        </w:rPr>
        <w:t>A.P.P. solicită public Guvernului să detaileze ce sume se vor aloca, perioada și de către cine, pe fiecare dintre cele trei domenii.</w:t>
      </w:r>
    </w:p>
    <w:p w:rsidR="005F0738" w:rsidRDefault="005F0738" w:rsidP="005F0738">
      <w:pPr>
        <w:spacing w:line="360" w:lineRule="auto"/>
        <w:rPr>
          <w:rFonts w:ascii="Tahoma" w:hAnsi="Tahoma" w:cs="Tahoma"/>
          <w:sz w:val="28"/>
          <w:szCs w:val="28"/>
        </w:rPr>
      </w:pPr>
      <w:r>
        <w:rPr>
          <w:rFonts w:ascii="Tahoma" w:hAnsi="Tahoma" w:cs="Tahoma"/>
          <w:sz w:val="28"/>
          <w:szCs w:val="28"/>
        </w:rPr>
        <w:t xml:space="preserve">În conformitate cu datele furnizate de A.N.R.E., prețul la energie electrică variază între </w:t>
      </w:r>
      <w:r w:rsidRPr="007D0874">
        <w:rPr>
          <w:rFonts w:ascii="Tahoma" w:hAnsi="Tahoma" w:cs="Tahoma"/>
          <w:sz w:val="28"/>
          <w:szCs w:val="28"/>
        </w:rPr>
        <w:t>0.69</w:t>
      </w:r>
      <w:r>
        <w:rPr>
          <w:rFonts w:ascii="Tahoma" w:hAnsi="Tahoma" w:cs="Tahoma"/>
          <w:sz w:val="28"/>
          <w:szCs w:val="28"/>
        </w:rPr>
        <w:t xml:space="preserve"> lei/Kw și</w:t>
      </w:r>
      <w:r w:rsidRPr="007D0874">
        <w:rPr>
          <w:rFonts w:ascii="Tahoma" w:hAnsi="Tahoma" w:cs="Tahoma"/>
          <w:sz w:val="28"/>
          <w:szCs w:val="28"/>
        </w:rPr>
        <w:t xml:space="preserve"> 24.79 lei</w:t>
      </w:r>
      <w:r>
        <w:rPr>
          <w:rFonts w:ascii="Tahoma" w:hAnsi="Tahoma" w:cs="Tahoma"/>
          <w:sz w:val="28"/>
          <w:szCs w:val="28"/>
        </w:rPr>
        <w:t xml:space="preserve">/Kw! </w:t>
      </w:r>
    </w:p>
    <w:p w:rsidR="005F0738" w:rsidRDefault="005F0738" w:rsidP="005F0738">
      <w:pPr>
        <w:spacing w:line="360" w:lineRule="auto"/>
        <w:rPr>
          <w:rFonts w:ascii="Tahoma" w:hAnsi="Tahoma" w:cs="Tahoma"/>
          <w:sz w:val="28"/>
          <w:szCs w:val="28"/>
        </w:rPr>
      </w:pPr>
      <w:r>
        <w:rPr>
          <w:rFonts w:ascii="Tahoma" w:hAnsi="Tahoma" w:cs="Tahoma"/>
          <w:sz w:val="28"/>
          <w:szCs w:val="28"/>
        </w:rPr>
        <w:t>Adică diferența dintre plafonatul preț de 0,70 lei/Kw și tot ce este peste, este plătită de noi toți, prin intermediul statului, către niște ”băieți deștepți din energie”, care beneficiază de așa zisa ”liberalizare” la ordin și speculează mărind de 35 de ori prețul standard. Atenționăm Guvernul că în conformitate cu datele furnizate pe sitte-ul A.N.R.E., ca exemplu, se află și compania ”</w:t>
      </w:r>
      <w:r w:rsidRPr="007D0874">
        <w:rPr>
          <w:rFonts w:ascii="Tahoma" w:hAnsi="Tahoma" w:cs="Tahoma"/>
          <w:sz w:val="28"/>
          <w:szCs w:val="28"/>
        </w:rPr>
        <w:t>Cinta Energy SA</w:t>
      </w:r>
      <w:r>
        <w:rPr>
          <w:rFonts w:ascii="Tahoma" w:hAnsi="Tahoma" w:cs="Tahoma"/>
          <w:sz w:val="28"/>
          <w:szCs w:val="28"/>
        </w:rPr>
        <w:t>”, care vinde energia electrică la prețul de 24,79 lei/Kw.</w:t>
      </w:r>
    </w:p>
    <w:p w:rsidR="005F0738" w:rsidRDefault="005F0738" w:rsidP="005F0738">
      <w:pPr>
        <w:spacing w:line="360" w:lineRule="auto"/>
        <w:rPr>
          <w:rFonts w:ascii="Tahoma" w:hAnsi="Tahoma" w:cs="Tahoma"/>
          <w:sz w:val="28"/>
          <w:szCs w:val="28"/>
        </w:rPr>
      </w:pPr>
      <w:r>
        <w:rPr>
          <w:rFonts w:ascii="Tahoma" w:hAnsi="Tahoma" w:cs="Tahoma"/>
          <w:sz w:val="28"/>
          <w:szCs w:val="28"/>
        </w:rPr>
        <w:t xml:space="preserve">A.P.P. solicită Guvernului să spună clar românilor dacă în visteria țării mai există vreun ban și în ce sumă, care să asigure necesitățile de furnizare a energiei electrice și a gazelor, la iarnă? </w:t>
      </w:r>
    </w:p>
    <w:p w:rsidR="005F0738" w:rsidRDefault="005F0738" w:rsidP="005F0738">
      <w:pPr>
        <w:spacing w:line="360" w:lineRule="auto"/>
        <w:rPr>
          <w:rFonts w:ascii="Tahoma" w:hAnsi="Tahoma" w:cs="Tahoma"/>
          <w:sz w:val="28"/>
          <w:szCs w:val="28"/>
        </w:rPr>
      </w:pPr>
    </w:p>
    <w:p w:rsidR="005F0738" w:rsidRDefault="005F0738" w:rsidP="005F0738">
      <w:pPr>
        <w:spacing w:line="360" w:lineRule="auto"/>
        <w:rPr>
          <w:rFonts w:ascii="Tahoma" w:hAnsi="Tahoma" w:cs="Tahoma"/>
          <w:sz w:val="28"/>
          <w:szCs w:val="28"/>
        </w:rPr>
      </w:pPr>
    </w:p>
    <w:p w:rsidR="005F0738" w:rsidRDefault="005F0738" w:rsidP="005F0738">
      <w:pPr>
        <w:spacing w:line="360" w:lineRule="auto"/>
        <w:rPr>
          <w:rFonts w:ascii="Tahoma" w:hAnsi="Tahoma" w:cs="Tahoma"/>
          <w:sz w:val="28"/>
          <w:szCs w:val="28"/>
        </w:rPr>
      </w:pPr>
    </w:p>
    <w:p w:rsidR="005F0738" w:rsidRDefault="005F0738" w:rsidP="005F0738">
      <w:pPr>
        <w:spacing w:line="360" w:lineRule="auto"/>
        <w:rPr>
          <w:rFonts w:ascii="Tahoma" w:hAnsi="Tahoma" w:cs="Tahoma"/>
          <w:sz w:val="28"/>
          <w:szCs w:val="28"/>
        </w:rPr>
      </w:pPr>
    </w:p>
    <w:p w:rsidR="005F0738" w:rsidRDefault="005F0738" w:rsidP="005F0738">
      <w:pPr>
        <w:spacing w:line="360" w:lineRule="auto"/>
        <w:rPr>
          <w:rFonts w:ascii="Tahoma" w:hAnsi="Tahoma" w:cs="Tahoma"/>
          <w:sz w:val="28"/>
          <w:szCs w:val="28"/>
        </w:rPr>
      </w:pPr>
      <w:r>
        <w:rPr>
          <w:rFonts w:ascii="Tahoma" w:hAnsi="Tahoma" w:cs="Tahoma"/>
          <w:sz w:val="28"/>
          <w:szCs w:val="28"/>
        </w:rPr>
        <w:t>Virgil Popescu ca ”ministru al Energiei” a cerut la rectificarea bugetară 30 de miliarde de lei, iar Florin Spătaru ca ”ministru al Economiei” a mai adăugat un milliard, adică cumulat 2,2% din P.I.B.-ul României. Ni se explică în mod eronat că toți acești bani, atribuiți cu dedicație, sunt pentru compensarea ”speculei” la furnizarea energiei electrice.</w:t>
      </w:r>
    </w:p>
    <w:p w:rsidR="005F0738" w:rsidRDefault="005F0738" w:rsidP="005F0738">
      <w:pPr>
        <w:spacing w:line="360" w:lineRule="auto"/>
        <w:rPr>
          <w:rFonts w:ascii="Tahoma" w:hAnsi="Tahoma" w:cs="Tahoma"/>
          <w:sz w:val="28"/>
          <w:szCs w:val="28"/>
        </w:rPr>
      </w:pPr>
      <w:r>
        <w:rPr>
          <w:rFonts w:ascii="Tahoma" w:hAnsi="Tahoma" w:cs="Tahoma"/>
          <w:sz w:val="28"/>
          <w:szCs w:val="28"/>
        </w:rPr>
        <w:t xml:space="preserve">Ceea ce este o minciună! </w:t>
      </w:r>
    </w:p>
    <w:p w:rsidR="005F0738" w:rsidRDefault="005F0738" w:rsidP="005F0738">
      <w:pPr>
        <w:spacing w:line="360" w:lineRule="auto"/>
        <w:rPr>
          <w:rFonts w:ascii="Tahoma" w:hAnsi="Tahoma" w:cs="Tahoma"/>
          <w:sz w:val="28"/>
          <w:szCs w:val="28"/>
        </w:rPr>
      </w:pPr>
      <w:r>
        <w:rPr>
          <w:rFonts w:ascii="Tahoma" w:hAnsi="Tahoma" w:cs="Tahoma"/>
          <w:sz w:val="28"/>
          <w:szCs w:val="28"/>
        </w:rPr>
        <w:t>Atenționăm Guvernul că dacă nici de această dată nu răspunde public la întrebări, îl vom acționa în instanță, iar miniștrii menționați mai sus vor răspunde personal.</w:t>
      </w:r>
    </w:p>
    <w:p w:rsidR="0074790B" w:rsidRDefault="0074790B" w:rsidP="003E7F65">
      <w:pPr>
        <w:spacing w:line="360" w:lineRule="auto"/>
        <w:rPr>
          <w:rFonts w:ascii="Tahoma" w:hAnsi="Tahoma" w:cs="Tahoma"/>
          <w:sz w:val="28"/>
          <w:szCs w:val="28"/>
          <w:lang w:val="ro-RO"/>
        </w:rPr>
      </w:pPr>
    </w:p>
    <w:p w:rsidR="0074790B" w:rsidRDefault="0074790B" w:rsidP="003E7F65">
      <w:pPr>
        <w:spacing w:line="360" w:lineRule="auto"/>
        <w:rPr>
          <w:rFonts w:ascii="Tahoma" w:hAnsi="Tahoma" w:cs="Tahoma"/>
          <w:sz w:val="28"/>
          <w:szCs w:val="28"/>
          <w:lang w:val="ro-RO"/>
        </w:rPr>
      </w:pPr>
    </w:p>
    <w:p w:rsidR="00AC5105" w:rsidRDefault="00AC5105" w:rsidP="00AC5105">
      <w:pPr>
        <w:spacing w:line="360" w:lineRule="auto"/>
        <w:rPr>
          <w:rFonts w:ascii="Tahoma" w:hAnsi="Tahoma" w:cs="Tahoma"/>
          <w:b/>
          <w:sz w:val="28"/>
          <w:szCs w:val="28"/>
          <w:lang w:val="ro-RO"/>
        </w:rPr>
      </w:pPr>
      <w:r>
        <w:rPr>
          <w:rFonts w:ascii="Tahoma" w:hAnsi="Tahoma" w:cs="Tahoma"/>
          <w:b/>
          <w:sz w:val="28"/>
          <w:szCs w:val="28"/>
          <w:lang w:val="ro-RO"/>
        </w:rPr>
        <w:t xml:space="preserve">Codrin Ștefănescu – Secretar General </w:t>
      </w:r>
      <w:r w:rsidRPr="003E7F65">
        <w:rPr>
          <w:rFonts w:ascii="Tahoma" w:hAnsi="Tahoma" w:cs="Tahoma"/>
          <w:b/>
          <w:sz w:val="28"/>
          <w:szCs w:val="28"/>
          <w:lang w:val="ro-RO"/>
        </w:rPr>
        <w:t>A.P.P.</w:t>
      </w:r>
    </w:p>
    <w:p w:rsidR="005F0738" w:rsidRDefault="005F0738" w:rsidP="003E7F65">
      <w:pPr>
        <w:spacing w:line="360" w:lineRule="auto"/>
        <w:rPr>
          <w:rFonts w:ascii="Tahoma" w:hAnsi="Tahoma" w:cs="Tahoma"/>
          <w:sz w:val="28"/>
          <w:szCs w:val="28"/>
          <w:lang w:val="ro-RO"/>
        </w:rPr>
      </w:pPr>
    </w:p>
    <w:p w:rsidR="003E7F65" w:rsidRDefault="005F0738" w:rsidP="003E7F65">
      <w:pPr>
        <w:spacing w:line="360" w:lineRule="auto"/>
        <w:rPr>
          <w:rFonts w:ascii="Tahoma" w:hAnsi="Tahoma" w:cs="Tahoma"/>
          <w:sz w:val="28"/>
          <w:szCs w:val="28"/>
          <w:lang w:val="ro-RO"/>
        </w:rPr>
      </w:pPr>
      <w:r>
        <w:rPr>
          <w:rFonts w:ascii="Tahoma" w:hAnsi="Tahoma" w:cs="Tahoma"/>
          <w:sz w:val="28"/>
          <w:szCs w:val="28"/>
          <w:lang w:val="ro-RO"/>
        </w:rPr>
        <w:t>12 august</w:t>
      </w:r>
      <w:r w:rsidR="003E7F65">
        <w:rPr>
          <w:rFonts w:ascii="Tahoma" w:hAnsi="Tahoma" w:cs="Tahoma"/>
          <w:sz w:val="28"/>
          <w:szCs w:val="28"/>
          <w:lang w:val="ro-RO"/>
        </w:rPr>
        <w:t xml:space="preserve"> 2022</w:t>
      </w:r>
    </w:p>
    <w:p w:rsidR="00036553" w:rsidRPr="003E7F65" w:rsidRDefault="00036553" w:rsidP="00386D08">
      <w:pPr>
        <w:ind w:left="-284"/>
        <w:rPr>
          <w:rFonts w:ascii="Tahoma" w:hAnsi="Tahoma" w:cs="Tahoma"/>
          <w:b/>
          <w:bCs/>
          <w:sz w:val="28"/>
          <w:szCs w:val="28"/>
          <w:lang w:val="ro-RO"/>
        </w:rPr>
      </w:pPr>
    </w:p>
    <w:p w:rsidR="00C52246" w:rsidRDefault="00C52246" w:rsidP="003D0099">
      <w:pPr>
        <w:widowControl w:val="0"/>
        <w:autoSpaceDE w:val="0"/>
        <w:autoSpaceDN w:val="0"/>
        <w:adjustRightInd w:val="0"/>
        <w:ind w:firstLine="720"/>
        <w:jc w:val="both"/>
        <w:rPr>
          <w:sz w:val="28"/>
          <w:szCs w:val="28"/>
        </w:rPr>
      </w:pPr>
    </w:p>
    <w:p w:rsidR="00BE33E2" w:rsidRDefault="00BE33E2" w:rsidP="003D0099">
      <w:pPr>
        <w:widowControl w:val="0"/>
        <w:autoSpaceDE w:val="0"/>
        <w:autoSpaceDN w:val="0"/>
        <w:adjustRightInd w:val="0"/>
        <w:ind w:firstLine="720"/>
        <w:jc w:val="both"/>
        <w:rPr>
          <w:sz w:val="28"/>
          <w:szCs w:val="28"/>
        </w:rPr>
      </w:pPr>
    </w:p>
    <w:p w:rsidR="00561989" w:rsidRPr="000D7287" w:rsidRDefault="00561989" w:rsidP="00386D08">
      <w:pPr>
        <w:ind w:left="-284"/>
        <w:jc w:val="both"/>
        <w:rPr>
          <w:sz w:val="32"/>
          <w:szCs w:val="32"/>
          <w:lang w:val="ro-RO"/>
        </w:rPr>
      </w:pPr>
      <w:r w:rsidRPr="000D7287">
        <w:rPr>
          <w:sz w:val="32"/>
          <w:szCs w:val="32"/>
          <w:lang w:val="ro-RO"/>
        </w:rPr>
        <w:tab/>
      </w:r>
      <w:r w:rsidRPr="000D7287">
        <w:rPr>
          <w:sz w:val="32"/>
          <w:szCs w:val="32"/>
          <w:lang w:val="ro-RO"/>
        </w:rPr>
        <w:tab/>
      </w:r>
    </w:p>
    <w:sectPr w:rsidR="00561989" w:rsidRPr="000D7287" w:rsidSect="0016126B">
      <w:headerReference w:type="default" r:id="rId6"/>
      <w:pgSz w:w="12240" w:h="15840"/>
      <w:pgMar w:top="1772" w:right="1440" w:bottom="1440" w:left="1156" w:header="39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04A" w:rsidRDefault="0045504A" w:rsidP="0016126B">
      <w:r>
        <w:separator/>
      </w:r>
    </w:p>
  </w:endnote>
  <w:endnote w:type="continuationSeparator" w:id="1">
    <w:p w:rsidR="0045504A" w:rsidRDefault="0045504A" w:rsidP="001612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04A" w:rsidRDefault="0045504A" w:rsidP="0016126B">
      <w:r>
        <w:separator/>
      </w:r>
    </w:p>
  </w:footnote>
  <w:footnote w:type="continuationSeparator" w:id="1">
    <w:p w:rsidR="0045504A" w:rsidRDefault="0045504A" w:rsidP="00161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6B" w:rsidRDefault="0016126B" w:rsidP="0016126B">
    <w:pPr>
      <w:pStyle w:val="Header"/>
      <w:ind w:left="-284"/>
    </w:pPr>
    <w:r>
      <w:rPr>
        <w:noProof/>
      </w:rPr>
      <w:drawing>
        <wp:inline distT="0" distB="0" distL="0" distR="0">
          <wp:extent cx="6488545" cy="1057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85001" cy="107358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126B"/>
    <w:rsid w:val="00004BA6"/>
    <w:rsid w:val="0002300D"/>
    <w:rsid w:val="00036553"/>
    <w:rsid w:val="00063F19"/>
    <w:rsid w:val="00082C20"/>
    <w:rsid w:val="00086F56"/>
    <w:rsid w:val="00090B33"/>
    <w:rsid w:val="000A22FC"/>
    <w:rsid w:val="000A50A1"/>
    <w:rsid w:val="000D26D2"/>
    <w:rsid w:val="000D7287"/>
    <w:rsid w:val="000D7DCF"/>
    <w:rsid w:val="000F70E2"/>
    <w:rsid w:val="00100251"/>
    <w:rsid w:val="00106E82"/>
    <w:rsid w:val="001316C1"/>
    <w:rsid w:val="00135C75"/>
    <w:rsid w:val="0016126B"/>
    <w:rsid w:val="00164240"/>
    <w:rsid w:val="00164E32"/>
    <w:rsid w:val="00183243"/>
    <w:rsid w:val="001875D4"/>
    <w:rsid w:val="001A5AE2"/>
    <w:rsid w:val="001C304C"/>
    <w:rsid w:val="001D4576"/>
    <w:rsid w:val="001E3AE1"/>
    <w:rsid w:val="001E44C1"/>
    <w:rsid w:val="001F7957"/>
    <w:rsid w:val="002054A0"/>
    <w:rsid w:val="00205CA4"/>
    <w:rsid w:val="00216F7F"/>
    <w:rsid w:val="00222715"/>
    <w:rsid w:val="00223D4B"/>
    <w:rsid w:val="00230CA8"/>
    <w:rsid w:val="002335AD"/>
    <w:rsid w:val="00245315"/>
    <w:rsid w:val="0025284B"/>
    <w:rsid w:val="00260116"/>
    <w:rsid w:val="00275EC7"/>
    <w:rsid w:val="00277412"/>
    <w:rsid w:val="00284A0E"/>
    <w:rsid w:val="002D2452"/>
    <w:rsid w:val="002F2CAA"/>
    <w:rsid w:val="0030536A"/>
    <w:rsid w:val="00314256"/>
    <w:rsid w:val="0035564C"/>
    <w:rsid w:val="00370C76"/>
    <w:rsid w:val="00374C4F"/>
    <w:rsid w:val="00386D08"/>
    <w:rsid w:val="003A15A9"/>
    <w:rsid w:val="003C3CA9"/>
    <w:rsid w:val="003D0099"/>
    <w:rsid w:val="003E11D7"/>
    <w:rsid w:val="003E7F65"/>
    <w:rsid w:val="003F7D7E"/>
    <w:rsid w:val="00413B0F"/>
    <w:rsid w:val="00415727"/>
    <w:rsid w:val="00425981"/>
    <w:rsid w:val="00437E1B"/>
    <w:rsid w:val="004443FE"/>
    <w:rsid w:val="00445BC7"/>
    <w:rsid w:val="0045504A"/>
    <w:rsid w:val="0047286C"/>
    <w:rsid w:val="00494E04"/>
    <w:rsid w:val="00495F39"/>
    <w:rsid w:val="004B02CB"/>
    <w:rsid w:val="004B324A"/>
    <w:rsid w:val="004B42A0"/>
    <w:rsid w:val="004B60A8"/>
    <w:rsid w:val="004C1FD4"/>
    <w:rsid w:val="004C2A49"/>
    <w:rsid w:val="004C6689"/>
    <w:rsid w:val="004D43B8"/>
    <w:rsid w:val="004E30FE"/>
    <w:rsid w:val="004E7991"/>
    <w:rsid w:val="00506E52"/>
    <w:rsid w:val="00510C6D"/>
    <w:rsid w:val="0052384E"/>
    <w:rsid w:val="005272F9"/>
    <w:rsid w:val="00541374"/>
    <w:rsid w:val="0054589F"/>
    <w:rsid w:val="00550436"/>
    <w:rsid w:val="00550720"/>
    <w:rsid w:val="005576F0"/>
    <w:rsid w:val="0056145E"/>
    <w:rsid w:val="00561989"/>
    <w:rsid w:val="00563D1C"/>
    <w:rsid w:val="00564F62"/>
    <w:rsid w:val="00580E84"/>
    <w:rsid w:val="00593890"/>
    <w:rsid w:val="00596569"/>
    <w:rsid w:val="00597D9A"/>
    <w:rsid w:val="005A6BA8"/>
    <w:rsid w:val="005B0FA8"/>
    <w:rsid w:val="005B2588"/>
    <w:rsid w:val="005C2D52"/>
    <w:rsid w:val="005C6F14"/>
    <w:rsid w:val="005D51A1"/>
    <w:rsid w:val="005E3549"/>
    <w:rsid w:val="005F0738"/>
    <w:rsid w:val="005F3239"/>
    <w:rsid w:val="005F3730"/>
    <w:rsid w:val="005F79B8"/>
    <w:rsid w:val="006066C3"/>
    <w:rsid w:val="00610732"/>
    <w:rsid w:val="00617E2B"/>
    <w:rsid w:val="00620D28"/>
    <w:rsid w:val="006361B9"/>
    <w:rsid w:val="00650E27"/>
    <w:rsid w:val="00654F57"/>
    <w:rsid w:val="006625D3"/>
    <w:rsid w:val="00662767"/>
    <w:rsid w:val="0067332A"/>
    <w:rsid w:val="006820A9"/>
    <w:rsid w:val="006875D5"/>
    <w:rsid w:val="00690E95"/>
    <w:rsid w:val="006A6ADB"/>
    <w:rsid w:val="006B0EBD"/>
    <w:rsid w:val="006B2B44"/>
    <w:rsid w:val="006B3972"/>
    <w:rsid w:val="006B5E14"/>
    <w:rsid w:val="006C368E"/>
    <w:rsid w:val="006C46E5"/>
    <w:rsid w:val="006C6F9F"/>
    <w:rsid w:val="006D771A"/>
    <w:rsid w:val="006E066A"/>
    <w:rsid w:val="006E7432"/>
    <w:rsid w:val="006F1D91"/>
    <w:rsid w:val="006F1FCA"/>
    <w:rsid w:val="006F36C5"/>
    <w:rsid w:val="00704951"/>
    <w:rsid w:val="00705CC7"/>
    <w:rsid w:val="00707144"/>
    <w:rsid w:val="00711386"/>
    <w:rsid w:val="007445E1"/>
    <w:rsid w:val="0074790B"/>
    <w:rsid w:val="00770B0E"/>
    <w:rsid w:val="00782421"/>
    <w:rsid w:val="007A0988"/>
    <w:rsid w:val="007A195A"/>
    <w:rsid w:val="007C13ED"/>
    <w:rsid w:val="007C242D"/>
    <w:rsid w:val="007E720F"/>
    <w:rsid w:val="00802D8E"/>
    <w:rsid w:val="00815B5A"/>
    <w:rsid w:val="00816F7C"/>
    <w:rsid w:val="008265F6"/>
    <w:rsid w:val="00840755"/>
    <w:rsid w:val="00842796"/>
    <w:rsid w:val="00853BEA"/>
    <w:rsid w:val="00861CA9"/>
    <w:rsid w:val="008737DF"/>
    <w:rsid w:val="00881E00"/>
    <w:rsid w:val="008B39AF"/>
    <w:rsid w:val="008B4956"/>
    <w:rsid w:val="008B4C42"/>
    <w:rsid w:val="008C02A0"/>
    <w:rsid w:val="008E2B71"/>
    <w:rsid w:val="008E2E2B"/>
    <w:rsid w:val="008E78D6"/>
    <w:rsid w:val="008F1506"/>
    <w:rsid w:val="0090080E"/>
    <w:rsid w:val="009035A7"/>
    <w:rsid w:val="00915226"/>
    <w:rsid w:val="00920845"/>
    <w:rsid w:val="009240C8"/>
    <w:rsid w:val="009263DE"/>
    <w:rsid w:val="00935E59"/>
    <w:rsid w:val="009434A2"/>
    <w:rsid w:val="009448B3"/>
    <w:rsid w:val="00977677"/>
    <w:rsid w:val="009820BD"/>
    <w:rsid w:val="00982785"/>
    <w:rsid w:val="009A2D27"/>
    <w:rsid w:val="009B6559"/>
    <w:rsid w:val="009C76CC"/>
    <w:rsid w:val="009D4343"/>
    <w:rsid w:val="009E3B8A"/>
    <w:rsid w:val="009F3B77"/>
    <w:rsid w:val="00A03D93"/>
    <w:rsid w:val="00A25198"/>
    <w:rsid w:val="00A354E2"/>
    <w:rsid w:val="00A42207"/>
    <w:rsid w:val="00A66871"/>
    <w:rsid w:val="00A67134"/>
    <w:rsid w:val="00A85F80"/>
    <w:rsid w:val="00A864D5"/>
    <w:rsid w:val="00AB1FFA"/>
    <w:rsid w:val="00AC5105"/>
    <w:rsid w:val="00AD6414"/>
    <w:rsid w:val="00AD6452"/>
    <w:rsid w:val="00AE1A8B"/>
    <w:rsid w:val="00B0104A"/>
    <w:rsid w:val="00B061DE"/>
    <w:rsid w:val="00B223F5"/>
    <w:rsid w:val="00B25382"/>
    <w:rsid w:val="00B2581E"/>
    <w:rsid w:val="00B3047E"/>
    <w:rsid w:val="00B40992"/>
    <w:rsid w:val="00B57A5F"/>
    <w:rsid w:val="00B80C19"/>
    <w:rsid w:val="00B83FA6"/>
    <w:rsid w:val="00B95525"/>
    <w:rsid w:val="00B97C4D"/>
    <w:rsid w:val="00BA1608"/>
    <w:rsid w:val="00BA1FBF"/>
    <w:rsid w:val="00BB0D4C"/>
    <w:rsid w:val="00BB0D94"/>
    <w:rsid w:val="00BB48CD"/>
    <w:rsid w:val="00BC52A1"/>
    <w:rsid w:val="00BD1D89"/>
    <w:rsid w:val="00BD4080"/>
    <w:rsid w:val="00BD7660"/>
    <w:rsid w:val="00BE0000"/>
    <w:rsid w:val="00BE33E2"/>
    <w:rsid w:val="00BE3E19"/>
    <w:rsid w:val="00BE6993"/>
    <w:rsid w:val="00BF533B"/>
    <w:rsid w:val="00C26D25"/>
    <w:rsid w:val="00C3511D"/>
    <w:rsid w:val="00C36039"/>
    <w:rsid w:val="00C51ACD"/>
    <w:rsid w:val="00C52246"/>
    <w:rsid w:val="00C60EA4"/>
    <w:rsid w:val="00C62F27"/>
    <w:rsid w:val="00C7472D"/>
    <w:rsid w:val="00C835ED"/>
    <w:rsid w:val="00CA0385"/>
    <w:rsid w:val="00CB5F00"/>
    <w:rsid w:val="00CB6774"/>
    <w:rsid w:val="00CD799A"/>
    <w:rsid w:val="00CE546B"/>
    <w:rsid w:val="00CE6C16"/>
    <w:rsid w:val="00CF05BC"/>
    <w:rsid w:val="00CF1788"/>
    <w:rsid w:val="00CF5364"/>
    <w:rsid w:val="00D04013"/>
    <w:rsid w:val="00D1017A"/>
    <w:rsid w:val="00D210EA"/>
    <w:rsid w:val="00D44089"/>
    <w:rsid w:val="00D4799C"/>
    <w:rsid w:val="00D510FE"/>
    <w:rsid w:val="00D54B9E"/>
    <w:rsid w:val="00D8286D"/>
    <w:rsid w:val="00D84E96"/>
    <w:rsid w:val="00D87572"/>
    <w:rsid w:val="00D94F50"/>
    <w:rsid w:val="00DA3C56"/>
    <w:rsid w:val="00DA4156"/>
    <w:rsid w:val="00DB5121"/>
    <w:rsid w:val="00DB584B"/>
    <w:rsid w:val="00DC5178"/>
    <w:rsid w:val="00DC5599"/>
    <w:rsid w:val="00DD0D1A"/>
    <w:rsid w:val="00DF63D1"/>
    <w:rsid w:val="00E05114"/>
    <w:rsid w:val="00E16502"/>
    <w:rsid w:val="00E16973"/>
    <w:rsid w:val="00E33401"/>
    <w:rsid w:val="00E465C2"/>
    <w:rsid w:val="00E623BF"/>
    <w:rsid w:val="00E63993"/>
    <w:rsid w:val="00E76224"/>
    <w:rsid w:val="00E84082"/>
    <w:rsid w:val="00EA1437"/>
    <w:rsid w:val="00EB19EF"/>
    <w:rsid w:val="00EB4C69"/>
    <w:rsid w:val="00EF59AE"/>
    <w:rsid w:val="00F12DA5"/>
    <w:rsid w:val="00F157B2"/>
    <w:rsid w:val="00F16278"/>
    <w:rsid w:val="00F23DF1"/>
    <w:rsid w:val="00F3174E"/>
    <w:rsid w:val="00F327A6"/>
    <w:rsid w:val="00F344B3"/>
    <w:rsid w:val="00F4181A"/>
    <w:rsid w:val="00F42055"/>
    <w:rsid w:val="00F5694A"/>
    <w:rsid w:val="00F62C48"/>
    <w:rsid w:val="00F92179"/>
    <w:rsid w:val="00F962C3"/>
    <w:rsid w:val="00FB7B2B"/>
    <w:rsid w:val="00FE1F75"/>
    <w:rsid w:val="00FE39EB"/>
    <w:rsid w:val="00FF6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26B"/>
    <w:pPr>
      <w:tabs>
        <w:tab w:val="center" w:pos="4680"/>
        <w:tab w:val="right" w:pos="9360"/>
      </w:tabs>
    </w:pPr>
  </w:style>
  <w:style w:type="character" w:customStyle="1" w:styleId="HeaderChar">
    <w:name w:val="Header Char"/>
    <w:basedOn w:val="DefaultParagraphFont"/>
    <w:link w:val="Header"/>
    <w:uiPriority w:val="99"/>
    <w:rsid w:val="0016126B"/>
  </w:style>
  <w:style w:type="paragraph" w:styleId="Footer">
    <w:name w:val="footer"/>
    <w:basedOn w:val="Normal"/>
    <w:link w:val="FooterChar"/>
    <w:uiPriority w:val="99"/>
    <w:unhideWhenUsed/>
    <w:rsid w:val="0016126B"/>
    <w:pPr>
      <w:tabs>
        <w:tab w:val="center" w:pos="4680"/>
        <w:tab w:val="right" w:pos="9360"/>
      </w:tabs>
    </w:pPr>
  </w:style>
  <w:style w:type="character" w:customStyle="1" w:styleId="FooterChar">
    <w:name w:val="Footer Char"/>
    <w:basedOn w:val="DefaultParagraphFont"/>
    <w:link w:val="Footer"/>
    <w:uiPriority w:val="99"/>
    <w:rsid w:val="0016126B"/>
  </w:style>
  <w:style w:type="paragraph" w:styleId="BalloonText">
    <w:name w:val="Balloon Text"/>
    <w:basedOn w:val="Normal"/>
    <w:link w:val="BalloonTextChar"/>
    <w:uiPriority w:val="99"/>
    <w:semiHidden/>
    <w:unhideWhenUsed/>
    <w:rsid w:val="00550436"/>
    <w:rPr>
      <w:rFonts w:ascii="Tahoma" w:hAnsi="Tahoma" w:cs="Tahoma"/>
      <w:sz w:val="16"/>
      <w:szCs w:val="16"/>
    </w:rPr>
  </w:style>
  <w:style w:type="character" w:customStyle="1" w:styleId="BalloonTextChar">
    <w:name w:val="Balloon Text Char"/>
    <w:basedOn w:val="DefaultParagraphFont"/>
    <w:link w:val="BalloonText"/>
    <w:uiPriority w:val="99"/>
    <w:semiHidden/>
    <w:rsid w:val="00550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492678">
      <w:bodyDiv w:val="1"/>
      <w:marLeft w:val="0"/>
      <w:marRight w:val="0"/>
      <w:marTop w:val="0"/>
      <w:marBottom w:val="0"/>
      <w:divBdr>
        <w:top w:val="none" w:sz="0" w:space="0" w:color="auto"/>
        <w:left w:val="none" w:sz="0" w:space="0" w:color="auto"/>
        <w:bottom w:val="none" w:sz="0" w:space="0" w:color="auto"/>
        <w:right w:val="none" w:sz="0" w:space="0" w:color="auto"/>
      </w:divBdr>
    </w:div>
    <w:div w:id="1126780444">
      <w:bodyDiv w:val="1"/>
      <w:marLeft w:val="0"/>
      <w:marRight w:val="0"/>
      <w:marTop w:val="0"/>
      <w:marBottom w:val="0"/>
      <w:divBdr>
        <w:top w:val="none" w:sz="0" w:space="0" w:color="auto"/>
        <w:left w:val="none" w:sz="0" w:space="0" w:color="auto"/>
        <w:bottom w:val="none" w:sz="0" w:space="0" w:color="auto"/>
        <w:right w:val="none" w:sz="0" w:space="0" w:color="auto"/>
      </w:divBdr>
    </w:div>
    <w:div w:id="17202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Home</cp:lastModifiedBy>
  <cp:revision>163</cp:revision>
  <dcterms:created xsi:type="dcterms:W3CDTF">2022-03-29T10:33:00Z</dcterms:created>
  <dcterms:modified xsi:type="dcterms:W3CDTF">2022-08-12T13:59:00Z</dcterms:modified>
</cp:coreProperties>
</file>