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2A95" w14:textId="77777777" w:rsidR="00C10CE8" w:rsidRPr="00C10CE8" w:rsidRDefault="00C10CE8" w:rsidP="00C10CE8">
      <w:pPr>
        <w:spacing w:before="100" w:beforeAutospacing="1" w:after="100" w:afterAutospacing="1" w:line="240" w:lineRule="auto"/>
        <w:jc w:val="center"/>
        <w:rPr>
          <w:rFonts w:ascii="Times New Roman" w:eastAsia="Times New Roman" w:hAnsi="Times New Roman" w:cs="Times New Roman"/>
          <w:b/>
          <w:bCs/>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 xml:space="preserve">ASPECTE LEGISLATIVE </w:t>
      </w:r>
    </w:p>
    <w:p w14:paraId="1BA04B41" w14:textId="77777777" w:rsidR="00C10CE8" w:rsidRPr="00C10CE8" w:rsidRDefault="00C10CE8" w:rsidP="00C10CE8">
      <w:pPr>
        <w:spacing w:before="100" w:beforeAutospacing="1" w:after="100" w:afterAutospacing="1" w:line="240" w:lineRule="auto"/>
        <w:jc w:val="center"/>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PRIVIND MUNCA PE PLATFORMELE DIGITALE</w:t>
      </w:r>
    </w:p>
    <w:p w14:paraId="6F73CE22"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România are obligația de a transpune în legislația națională </w:t>
      </w:r>
      <w:r w:rsidRPr="00C10CE8">
        <w:rPr>
          <w:rFonts w:ascii="Times New Roman" w:eastAsia="Times New Roman" w:hAnsi="Times New Roman" w:cs="Times New Roman"/>
          <w:b/>
          <w:bCs/>
          <w:color w:val="auto"/>
          <w:sz w:val="28"/>
          <w:szCs w:val="28"/>
          <w:lang w:val="ro-RO" w:eastAsia="ro-RO"/>
        </w:rPr>
        <w:t>Directiva (UE) 2024/2831 privind munca pe platformele digitale</w:t>
      </w:r>
      <w:r w:rsidRPr="00C10CE8">
        <w:rPr>
          <w:rFonts w:ascii="Times New Roman" w:eastAsia="Times New Roman" w:hAnsi="Times New Roman" w:cs="Times New Roman"/>
          <w:color w:val="auto"/>
          <w:sz w:val="28"/>
          <w:szCs w:val="28"/>
          <w:lang w:val="ro-RO" w:eastAsia="ro-RO"/>
        </w:rPr>
        <w:t xml:space="preserve">, termenul limită stabilit la nivel european fiind </w:t>
      </w:r>
      <w:r w:rsidRPr="00C10CE8">
        <w:rPr>
          <w:rFonts w:ascii="Times New Roman" w:eastAsia="Times New Roman" w:hAnsi="Times New Roman" w:cs="Times New Roman"/>
          <w:b/>
          <w:bCs/>
          <w:color w:val="auto"/>
          <w:sz w:val="28"/>
          <w:szCs w:val="28"/>
          <w:lang w:val="ro-RO" w:eastAsia="ro-RO"/>
        </w:rPr>
        <w:t>2</w:t>
      </w:r>
      <w:r w:rsidRPr="00C10CE8">
        <w:rPr>
          <w:rFonts w:ascii="Times New Roman" w:eastAsia="Times New Roman" w:hAnsi="Times New Roman" w:cs="Times New Roman"/>
          <w:color w:val="auto"/>
          <w:sz w:val="28"/>
          <w:szCs w:val="28"/>
          <w:lang w:val="ro-RO" w:eastAsia="ro-RO"/>
        </w:rPr>
        <w:t xml:space="preserve"> </w:t>
      </w:r>
      <w:r w:rsidRPr="00C10CE8">
        <w:rPr>
          <w:rFonts w:ascii="Times New Roman" w:eastAsia="Times New Roman" w:hAnsi="Times New Roman" w:cs="Times New Roman"/>
          <w:b/>
          <w:bCs/>
          <w:color w:val="auto"/>
          <w:sz w:val="28"/>
          <w:szCs w:val="28"/>
          <w:lang w:val="ro-RO" w:eastAsia="ro-RO"/>
        </w:rPr>
        <w:t>decembrie 2026</w:t>
      </w:r>
      <w:r w:rsidRPr="00C10CE8">
        <w:rPr>
          <w:rFonts w:ascii="Times New Roman" w:eastAsia="Times New Roman" w:hAnsi="Times New Roman" w:cs="Times New Roman"/>
          <w:color w:val="auto"/>
          <w:sz w:val="28"/>
          <w:szCs w:val="28"/>
          <w:lang w:val="ro-RO" w:eastAsia="ro-RO"/>
        </w:rPr>
        <w:t>. Această directivă reprezintă un pas important în adaptarea cadrului legislativ la noile realități ale pieței muncii și la evoluția relațiilor de muncă din Uniunea Europeană.</w:t>
      </w:r>
    </w:p>
    <w:p w14:paraId="48B7E02B" w14:textId="77777777" w:rsidR="00C10CE8" w:rsidRPr="00C10CE8" w:rsidRDefault="00C10CE8" w:rsidP="00C10CE8">
      <w:pPr>
        <w:shd w:val="clear" w:color="auto" w:fill="D9D9D9"/>
        <w:spacing w:before="100" w:beforeAutospacing="1" w:after="100" w:afterAutospacing="1" w:line="240" w:lineRule="auto"/>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Ce aduce nou Directiva (UE) 2024/2831</w:t>
      </w:r>
    </w:p>
    <w:p w14:paraId="511FA82A" w14:textId="77777777" w:rsidR="00C10CE8" w:rsidRPr="00C10CE8" w:rsidRDefault="00C10CE8" w:rsidP="00C10CE8">
      <w:pPr>
        <w:spacing w:before="100" w:beforeAutospacing="1" w:after="100" w:afterAutospacing="1" w:line="240" w:lineRule="auto"/>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Directiva introduce o serie de reglementări și principii noi, printre care:</w:t>
      </w:r>
    </w:p>
    <w:p w14:paraId="4683253B" w14:textId="77777777" w:rsidR="00C10CE8" w:rsidRPr="00C10CE8" w:rsidRDefault="00C10CE8" w:rsidP="00C10CE8">
      <w:pPr>
        <w:numPr>
          <w:ilvl w:val="0"/>
          <w:numId w:val="5"/>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clarificarea criteriilor de delimitare între </w:t>
      </w:r>
      <w:r w:rsidRPr="00C10CE8">
        <w:rPr>
          <w:rFonts w:ascii="Times New Roman" w:eastAsia="Times New Roman" w:hAnsi="Times New Roman" w:cs="Times New Roman"/>
          <w:b/>
          <w:bCs/>
          <w:color w:val="auto"/>
          <w:sz w:val="28"/>
          <w:szCs w:val="28"/>
          <w:lang w:val="ro-RO" w:eastAsia="ro-RO"/>
        </w:rPr>
        <w:t>munca dependentă (salariată)</w:t>
      </w:r>
      <w:r w:rsidRPr="00C10CE8">
        <w:rPr>
          <w:rFonts w:ascii="Times New Roman" w:eastAsia="Times New Roman" w:hAnsi="Times New Roman" w:cs="Times New Roman"/>
          <w:color w:val="auto"/>
          <w:sz w:val="28"/>
          <w:szCs w:val="28"/>
          <w:lang w:val="ro-RO" w:eastAsia="ro-RO"/>
        </w:rPr>
        <w:t xml:space="preserve"> și </w:t>
      </w:r>
      <w:r w:rsidRPr="00C10CE8">
        <w:rPr>
          <w:rFonts w:ascii="Times New Roman" w:eastAsia="Times New Roman" w:hAnsi="Times New Roman" w:cs="Times New Roman"/>
          <w:b/>
          <w:bCs/>
          <w:color w:val="auto"/>
          <w:sz w:val="28"/>
          <w:szCs w:val="28"/>
          <w:lang w:val="ro-RO" w:eastAsia="ro-RO"/>
        </w:rPr>
        <w:t>munca independentă</w:t>
      </w:r>
      <w:r w:rsidRPr="00C10CE8">
        <w:rPr>
          <w:rFonts w:ascii="Times New Roman" w:eastAsia="Times New Roman" w:hAnsi="Times New Roman" w:cs="Times New Roman"/>
          <w:color w:val="auto"/>
          <w:sz w:val="28"/>
          <w:szCs w:val="28"/>
          <w:lang w:val="ro-RO" w:eastAsia="ro-RO"/>
        </w:rPr>
        <w:t>, în special în contextul noilor forme de activitate economică;</w:t>
      </w:r>
    </w:p>
    <w:p w14:paraId="30381756" w14:textId="77777777" w:rsidR="00C10CE8" w:rsidRPr="00C10CE8" w:rsidRDefault="00C10CE8" w:rsidP="00C10CE8">
      <w:pPr>
        <w:numPr>
          <w:ilvl w:val="0"/>
          <w:numId w:val="5"/>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consolidarea protecției persoanelor care desfășoară activități economice pe platformele digitale, fără a limita însă inițiativa antreprenorială;</w:t>
      </w:r>
    </w:p>
    <w:p w14:paraId="72E3FBFB" w14:textId="77777777" w:rsidR="00C10CE8" w:rsidRPr="00C10CE8" w:rsidRDefault="00C10CE8" w:rsidP="00C10CE8">
      <w:pPr>
        <w:numPr>
          <w:ilvl w:val="0"/>
          <w:numId w:val="5"/>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promovarea unui cadru echilibrat care să asigure </w:t>
      </w:r>
      <w:r w:rsidRPr="00C10CE8">
        <w:rPr>
          <w:rFonts w:ascii="Times New Roman" w:eastAsia="Times New Roman" w:hAnsi="Times New Roman" w:cs="Times New Roman"/>
          <w:b/>
          <w:bCs/>
          <w:color w:val="auto"/>
          <w:sz w:val="28"/>
          <w:szCs w:val="28"/>
          <w:lang w:val="ro-RO" w:eastAsia="ro-RO"/>
        </w:rPr>
        <w:t>securitate juridică</w:t>
      </w:r>
      <w:r w:rsidRPr="00C10CE8">
        <w:rPr>
          <w:rFonts w:ascii="Times New Roman" w:eastAsia="Times New Roman" w:hAnsi="Times New Roman" w:cs="Times New Roman"/>
          <w:color w:val="auto"/>
          <w:sz w:val="28"/>
          <w:szCs w:val="28"/>
          <w:lang w:val="ro-RO" w:eastAsia="ro-RO"/>
        </w:rPr>
        <w:t>, transparență și predictibilitate pentru angajatori, lucrători și colaboratori independenți;</w:t>
      </w:r>
    </w:p>
    <w:p w14:paraId="2F46BFCD" w14:textId="77777777" w:rsidR="00C10CE8" w:rsidRPr="00C10CE8" w:rsidRDefault="00C10CE8" w:rsidP="00C10CE8">
      <w:pPr>
        <w:numPr>
          <w:ilvl w:val="0"/>
          <w:numId w:val="5"/>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respectarea principiului flexibilității pieței muncii, în paralel cu protejarea drepturilor fundamentale.</w:t>
      </w:r>
    </w:p>
    <w:p w14:paraId="4838D970" w14:textId="77777777" w:rsidR="00C10CE8" w:rsidRPr="00C10CE8" w:rsidRDefault="00C10CE8" w:rsidP="00C10CE8">
      <w:pPr>
        <w:shd w:val="clear" w:color="auto" w:fill="D9D9D9"/>
        <w:spacing w:before="100" w:beforeAutospacing="1" w:after="100" w:afterAutospacing="1" w:line="240" w:lineRule="auto"/>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Implicarea activă a IMM România</w:t>
      </w:r>
    </w:p>
    <w:p w14:paraId="47FA7FD8"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IMM România, împreună cu alți parteneri sociali reprezentativi, s-a implicat </w:t>
      </w:r>
      <w:r w:rsidRPr="00C10CE8">
        <w:rPr>
          <w:rFonts w:ascii="Times New Roman" w:eastAsia="Times New Roman" w:hAnsi="Times New Roman" w:cs="Times New Roman"/>
          <w:b/>
          <w:bCs/>
          <w:color w:val="auto"/>
          <w:sz w:val="28"/>
          <w:szCs w:val="28"/>
          <w:lang w:val="ro-RO" w:eastAsia="ro-RO"/>
        </w:rPr>
        <w:t>direct și activ</w:t>
      </w:r>
      <w:r w:rsidRPr="00C10CE8">
        <w:rPr>
          <w:rFonts w:ascii="Times New Roman" w:eastAsia="Times New Roman" w:hAnsi="Times New Roman" w:cs="Times New Roman"/>
          <w:color w:val="auto"/>
          <w:sz w:val="28"/>
          <w:szCs w:val="28"/>
          <w:lang w:val="ro-RO" w:eastAsia="ro-RO"/>
        </w:rPr>
        <w:t xml:space="preserve"> în procesul de elaborare a actului normativ național de transpunere a Directivei (UE) 2024/2831. Această implicare are ca obiectiv principal reprezentarea intereselor întreprinderilor mici și mijlocii, precum și asigurarea unui echilibru real între cerințele europene și specificul economiei românești.</w:t>
      </w:r>
    </w:p>
    <w:p w14:paraId="7007595B"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În cadrul </w:t>
      </w:r>
      <w:r w:rsidRPr="00C10CE8">
        <w:rPr>
          <w:rFonts w:ascii="Times New Roman" w:eastAsia="Times New Roman" w:hAnsi="Times New Roman" w:cs="Times New Roman"/>
          <w:b/>
          <w:bCs/>
          <w:color w:val="auto"/>
          <w:sz w:val="28"/>
          <w:szCs w:val="28"/>
          <w:lang w:val="ro-RO" w:eastAsia="ro-RO"/>
        </w:rPr>
        <w:t>noului proiect de act normativ de transpunere a Directivei (UE) 2024/2831</w:t>
      </w:r>
      <w:r w:rsidRPr="00C10CE8">
        <w:rPr>
          <w:rFonts w:ascii="Times New Roman" w:eastAsia="Times New Roman" w:hAnsi="Times New Roman" w:cs="Times New Roman"/>
          <w:color w:val="auto"/>
          <w:sz w:val="28"/>
          <w:szCs w:val="28"/>
          <w:lang w:val="ro-RO" w:eastAsia="ro-RO"/>
        </w:rPr>
        <w:t xml:space="preserve">, se realizează o </w:t>
      </w:r>
      <w:r w:rsidRPr="00C10CE8">
        <w:rPr>
          <w:rFonts w:ascii="Times New Roman" w:eastAsia="Times New Roman" w:hAnsi="Times New Roman" w:cs="Times New Roman"/>
          <w:b/>
          <w:bCs/>
          <w:color w:val="auto"/>
          <w:sz w:val="28"/>
          <w:szCs w:val="28"/>
          <w:lang w:val="ro-RO" w:eastAsia="ro-RO"/>
        </w:rPr>
        <w:t>clarificare esențială și necesară</w:t>
      </w:r>
      <w:r w:rsidRPr="00C10CE8">
        <w:rPr>
          <w:rFonts w:ascii="Times New Roman" w:eastAsia="Times New Roman" w:hAnsi="Times New Roman" w:cs="Times New Roman"/>
          <w:color w:val="auto"/>
          <w:sz w:val="28"/>
          <w:szCs w:val="28"/>
          <w:lang w:val="ro-RO" w:eastAsia="ro-RO"/>
        </w:rPr>
        <w:t xml:space="preserve"> pentru piața muncii din România: persoanele care desfășoară activități prin intermediul </w:t>
      </w:r>
      <w:r w:rsidRPr="00C10CE8">
        <w:rPr>
          <w:rFonts w:ascii="Times New Roman" w:eastAsia="Times New Roman" w:hAnsi="Times New Roman" w:cs="Times New Roman"/>
          <w:b/>
          <w:bCs/>
          <w:color w:val="auto"/>
          <w:sz w:val="28"/>
          <w:szCs w:val="28"/>
          <w:lang w:val="ro-RO" w:eastAsia="ro-RO"/>
        </w:rPr>
        <w:t>platformelor digitale de servicii</w:t>
      </w:r>
      <w:r w:rsidRPr="00C10CE8">
        <w:rPr>
          <w:rFonts w:ascii="Times New Roman" w:eastAsia="Times New Roman" w:hAnsi="Times New Roman" w:cs="Times New Roman"/>
          <w:color w:val="auto"/>
          <w:sz w:val="28"/>
          <w:szCs w:val="28"/>
          <w:lang w:val="ro-RO" w:eastAsia="ro-RO"/>
        </w:rPr>
        <w:t xml:space="preserve"> pot activa </w:t>
      </w:r>
      <w:r w:rsidRPr="00C10CE8">
        <w:rPr>
          <w:rFonts w:ascii="Times New Roman" w:eastAsia="Times New Roman" w:hAnsi="Times New Roman" w:cs="Times New Roman"/>
          <w:b/>
          <w:bCs/>
          <w:color w:val="auto"/>
          <w:sz w:val="28"/>
          <w:szCs w:val="28"/>
          <w:lang w:val="ro-RO" w:eastAsia="ro-RO"/>
        </w:rPr>
        <w:t>fie ca prestatori independenți de servicii, fie ca lucrători</w:t>
      </w:r>
      <w:r w:rsidRPr="00C10CE8">
        <w:rPr>
          <w:rFonts w:ascii="Times New Roman" w:eastAsia="Times New Roman" w:hAnsi="Times New Roman" w:cs="Times New Roman"/>
          <w:color w:val="auto"/>
          <w:sz w:val="28"/>
          <w:szCs w:val="28"/>
          <w:lang w:val="ro-RO" w:eastAsia="ro-RO"/>
        </w:rPr>
        <w:t>, în funcție de modul concret de organizare a activității.</w:t>
      </w:r>
    </w:p>
    <w:p w14:paraId="64FBFABB"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Această abordare reflectă fidel principiile directivei europene și răspunde nevoii de </w:t>
      </w:r>
      <w:r w:rsidRPr="00C10CE8">
        <w:rPr>
          <w:rFonts w:ascii="Times New Roman" w:eastAsia="Times New Roman" w:hAnsi="Times New Roman" w:cs="Times New Roman"/>
          <w:b/>
          <w:bCs/>
          <w:color w:val="auto"/>
          <w:sz w:val="28"/>
          <w:szCs w:val="28"/>
          <w:lang w:val="ro-RO" w:eastAsia="ro-RO"/>
        </w:rPr>
        <w:t>securitate juridică</w:t>
      </w:r>
      <w:r w:rsidRPr="00C10CE8">
        <w:rPr>
          <w:rFonts w:ascii="Times New Roman" w:eastAsia="Times New Roman" w:hAnsi="Times New Roman" w:cs="Times New Roman"/>
          <w:color w:val="auto"/>
          <w:sz w:val="28"/>
          <w:szCs w:val="28"/>
          <w:lang w:val="ro-RO" w:eastAsia="ro-RO"/>
        </w:rPr>
        <w:t>, evitând calificările automate și menținând flexibilitatea specifică economiei digitale.</w:t>
      </w:r>
    </w:p>
    <w:p w14:paraId="31CECFBF" w14:textId="77777777" w:rsidR="00C10CE8" w:rsidRPr="00C10CE8" w:rsidRDefault="00C10CE8" w:rsidP="00C10CE8">
      <w:pPr>
        <w:shd w:val="clear" w:color="auto" w:fill="D9D9D9"/>
        <w:spacing w:before="100" w:beforeAutospacing="1" w:after="100" w:afterAutospacing="1" w:line="240" w:lineRule="auto"/>
        <w:outlineLvl w:val="2"/>
        <w:rPr>
          <w:rFonts w:ascii="Times New Roman" w:eastAsia="Times New Roman" w:hAnsi="Times New Roman" w:cs="Times New Roman"/>
          <w:b/>
          <w:bCs/>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lastRenderedPageBreak/>
        <w:t>Delimitarea clară între prestator de servicii și lucrător</w:t>
      </w:r>
    </w:p>
    <w:p w14:paraId="660496DF"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Proiectul de act normativ stabilește explicit că </w:t>
      </w:r>
      <w:r w:rsidRPr="00C10CE8">
        <w:rPr>
          <w:rFonts w:ascii="Times New Roman" w:eastAsia="Times New Roman" w:hAnsi="Times New Roman" w:cs="Times New Roman"/>
          <w:b/>
          <w:bCs/>
          <w:color w:val="auto"/>
          <w:sz w:val="28"/>
          <w:szCs w:val="28"/>
          <w:lang w:val="ro-RO" w:eastAsia="ro-RO"/>
        </w:rPr>
        <w:t>încadrarea unei persoane ca lucrător</w:t>
      </w:r>
      <w:r w:rsidRPr="00C10CE8">
        <w:rPr>
          <w:rFonts w:ascii="Times New Roman" w:eastAsia="Times New Roman" w:hAnsi="Times New Roman" w:cs="Times New Roman"/>
          <w:color w:val="auto"/>
          <w:sz w:val="28"/>
          <w:szCs w:val="28"/>
          <w:lang w:val="ro-RO" w:eastAsia="ro-RO"/>
        </w:rPr>
        <w:t xml:space="preserve"> nu se face formal, ci </w:t>
      </w:r>
      <w:r w:rsidRPr="00C10CE8">
        <w:rPr>
          <w:rFonts w:ascii="Times New Roman" w:eastAsia="Times New Roman" w:hAnsi="Times New Roman" w:cs="Times New Roman"/>
          <w:b/>
          <w:bCs/>
          <w:color w:val="auto"/>
          <w:sz w:val="28"/>
          <w:szCs w:val="28"/>
          <w:lang w:val="ro-RO" w:eastAsia="ro-RO"/>
        </w:rPr>
        <w:t>doar în situația în care există o relație de dependență reală</w:t>
      </w:r>
      <w:r w:rsidRPr="00C10CE8">
        <w:rPr>
          <w:rFonts w:ascii="Times New Roman" w:eastAsia="Times New Roman" w:hAnsi="Times New Roman" w:cs="Times New Roman"/>
          <w:color w:val="auto"/>
          <w:sz w:val="28"/>
          <w:szCs w:val="28"/>
          <w:lang w:val="ro-RO" w:eastAsia="ro-RO"/>
        </w:rPr>
        <w:t xml:space="preserve"> față de platforma digitală de muncă sau față de intermediarii de servicii pe platformele digitale. În acest sens, partenerii sociali au convenit asupra unui set de </w:t>
      </w:r>
      <w:r w:rsidRPr="00C10CE8">
        <w:rPr>
          <w:rFonts w:ascii="Times New Roman" w:eastAsia="Times New Roman" w:hAnsi="Times New Roman" w:cs="Times New Roman"/>
          <w:b/>
          <w:bCs/>
          <w:color w:val="auto"/>
          <w:sz w:val="28"/>
          <w:szCs w:val="28"/>
          <w:lang w:val="ro-RO" w:eastAsia="ro-RO"/>
        </w:rPr>
        <w:t>criterii obiective</w:t>
      </w:r>
      <w:r w:rsidRPr="00C10CE8">
        <w:rPr>
          <w:rFonts w:ascii="Times New Roman" w:eastAsia="Times New Roman" w:hAnsi="Times New Roman" w:cs="Times New Roman"/>
          <w:color w:val="auto"/>
          <w:sz w:val="28"/>
          <w:szCs w:val="28"/>
          <w:lang w:val="ro-RO" w:eastAsia="ro-RO"/>
        </w:rPr>
        <w:t xml:space="preserve">, care trebuie </w:t>
      </w:r>
      <w:r w:rsidRPr="00C10CE8">
        <w:rPr>
          <w:rFonts w:ascii="Times New Roman" w:eastAsia="Times New Roman" w:hAnsi="Times New Roman" w:cs="Times New Roman"/>
          <w:b/>
          <w:bCs/>
          <w:color w:val="auto"/>
          <w:sz w:val="28"/>
          <w:szCs w:val="28"/>
          <w:lang w:val="ro-RO" w:eastAsia="ro-RO"/>
        </w:rPr>
        <w:t>îndeplinite cumulativ</w:t>
      </w:r>
      <w:r w:rsidRPr="00C10CE8">
        <w:rPr>
          <w:rFonts w:ascii="Times New Roman" w:eastAsia="Times New Roman" w:hAnsi="Times New Roman" w:cs="Times New Roman"/>
          <w:color w:val="auto"/>
          <w:sz w:val="28"/>
          <w:szCs w:val="28"/>
          <w:lang w:val="ro-RO" w:eastAsia="ro-RO"/>
        </w:rPr>
        <w:t xml:space="preserve"> pentru a determina existența unei relații de muncă dependente.</w:t>
      </w:r>
    </w:p>
    <w:p w14:paraId="591CC399"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O persoană este considerată lucrător, și nu prestator independent, </w:t>
      </w:r>
      <w:r w:rsidRPr="00C10CE8">
        <w:rPr>
          <w:rFonts w:ascii="Times New Roman" w:eastAsia="Times New Roman" w:hAnsi="Times New Roman" w:cs="Times New Roman"/>
          <w:b/>
          <w:bCs/>
          <w:color w:val="auto"/>
          <w:sz w:val="28"/>
          <w:szCs w:val="28"/>
          <w:lang w:val="ro-RO" w:eastAsia="ro-RO"/>
        </w:rPr>
        <w:t>dacă sunt întrunite cumulativ următoarele condiții</w:t>
      </w:r>
      <w:r w:rsidRPr="00C10CE8">
        <w:rPr>
          <w:rFonts w:ascii="Times New Roman" w:eastAsia="Times New Roman" w:hAnsi="Times New Roman" w:cs="Times New Roman"/>
          <w:color w:val="auto"/>
          <w:sz w:val="28"/>
          <w:szCs w:val="28"/>
          <w:lang w:val="ro-RO" w:eastAsia="ro-RO"/>
        </w:rPr>
        <w:t>:</w:t>
      </w:r>
    </w:p>
    <w:p w14:paraId="3F88B593"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a)</w:t>
      </w:r>
      <w:r w:rsidRPr="00C10CE8">
        <w:rPr>
          <w:rFonts w:ascii="Times New Roman" w:eastAsia="Times New Roman" w:hAnsi="Times New Roman" w:cs="Times New Roman"/>
          <w:color w:val="auto"/>
          <w:sz w:val="28"/>
          <w:szCs w:val="28"/>
          <w:lang w:val="ro-RO" w:eastAsia="ro-RO"/>
        </w:rPr>
        <w:t xml:space="preserve"> persoana este obligată să accepte toate sarcinile de lucru care îi sunt atribuite sau nu poate stabili un număr maxim de sarcini pe care le poate accepta, iar refuzul acestora conduce în mod automat și nemijlocit la încetarea raportului contractual;</w:t>
      </w:r>
      <w:r w:rsidRPr="00C10CE8">
        <w:rPr>
          <w:rFonts w:ascii="Times New Roman" w:eastAsia="Times New Roman" w:hAnsi="Times New Roman" w:cs="Times New Roman"/>
          <w:color w:val="auto"/>
          <w:sz w:val="28"/>
          <w:szCs w:val="28"/>
          <w:lang w:val="ro-RO" w:eastAsia="ro-RO"/>
        </w:rPr>
        <w:br/>
        <w:t>→ acest criteriu evidențiază lipsa libertății de a-și organiza activitatea, element specific muncii dependente.</w:t>
      </w:r>
    </w:p>
    <w:p w14:paraId="7AAA9EF1"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b)</w:t>
      </w:r>
      <w:r w:rsidRPr="00C10CE8">
        <w:rPr>
          <w:rFonts w:ascii="Times New Roman" w:eastAsia="Times New Roman" w:hAnsi="Times New Roman" w:cs="Times New Roman"/>
          <w:color w:val="auto"/>
          <w:sz w:val="28"/>
          <w:szCs w:val="28"/>
          <w:lang w:val="ro-RO" w:eastAsia="ro-RO"/>
        </w:rPr>
        <w:t xml:space="preserve"> este prevăzută interdicția de a presta servicii pentru alte entități terțe, inclusiv pentru concurenții direcți ai platformei digitale de muncă;</w:t>
      </w:r>
      <w:r w:rsidRPr="00C10CE8">
        <w:rPr>
          <w:rFonts w:ascii="Times New Roman" w:eastAsia="Times New Roman" w:hAnsi="Times New Roman" w:cs="Times New Roman"/>
          <w:color w:val="auto"/>
          <w:sz w:val="28"/>
          <w:szCs w:val="28"/>
          <w:lang w:val="ro-RO" w:eastAsia="ro-RO"/>
        </w:rPr>
        <w:br/>
        <w:t>→ exclusivitatea impusă limitează autonomia economică și indică o subordonare față de platformă.</w:t>
      </w:r>
    </w:p>
    <w:p w14:paraId="7EA07BE2"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c)</w:t>
      </w:r>
      <w:r w:rsidRPr="00C10CE8">
        <w:rPr>
          <w:rFonts w:ascii="Times New Roman" w:eastAsia="Times New Roman" w:hAnsi="Times New Roman" w:cs="Times New Roman"/>
          <w:color w:val="auto"/>
          <w:sz w:val="28"/>
          <w:szCs w:val="28"/>
          <w:lang w:val="ro-RO" w:eastAsia="ro-RO"/>
        </w:rPr>
        <w:t xml:space="preserve"> platforma digitală de muncă și/sau intermediarul are dreptul de a sancționa disciplinar persoana care lucrează pe platformă;</w:t>
      </w:r>
      <w:r w:rsidRPr="00C10CE8">
        <w:rPr>
          <w:rFonts w:ascii="Times New Roman" w:eastAsia="Times New Roman" w:hAnsi="Times New Roman" w:cs="Times New Roman"/>
          <w:color w:val="auto"/>
          <w:sz w:val="28"/>
          <w:szCs w:val="28"/>
          <w:lang w:val="ro-RO" w:eastAsia="ro-RO"/>
        </w:rPr>
        <w:br/>
        <w:t>→ existența unui mecanism de sancționare disciplinară este un element definitoriu al raportului de muncă.</w:t>
      </w:r>
    </w:p>
    <w:p w14:paraId="6DBD8283"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d)</w:t>
      </w:r>
      <w:r w:rsidRPr="00C10CE8">
        <w:rPr>
          <w:rFonts w:ascii="Times New Roman" w:eastAsia="Times New Roman" w:hAnsi="Times New Roman" w:cs="Times New Roman"/>
          <w:color w:val="auto"/>
          <w:sz w:val="28"/>
          <w:szCs w:val="28"/>
          <w:lang w:val="ro-RO" w:eastAsia="ro-RO"/>
        </w:rPr>
        <w:t xml:space="preserve"> persoanei îi este interzisă utilizarea de interpuși, angajați sau subcontractanți pentru executarea sarcinilor atribuite prin platformă, cu excepțiile expres prevăzute de lege;</w:t>
      </w:r>
      <w:r w:rsidRPr="00C10CE8">
        <w:rPr>
          <w:rFonts w:ascii="Times New Roman" w:eastAsia="Times New Roman" w:hAnsi="Times New Roman" w:cs="Times New Roman"/>
          <w:color w:val="auto"/>
          <w:sz w:val="28"/>
          <w:szCs w:val="28"/>
          <w:lang w:val="ro-RO" w:eastAsia="ro-RO"/>
        </w:rPr>
        <w:br/>
        <w:t>→ această interdicție exclude libertatea de organizare a activității, specifică prestatorilor independenți.</w:t>
      </w:r>
    </w:p>
    <w:p w14:paraId="1A44CDB5"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e)</w:t>
      </w:r>
      <w:r w:rsidRPr="00C10CE8">
        <w:rPr>
          <w:rFonts w:ascii="Times New Roman" w:eastAsia="Times New Roman" w:hAnsi="Times New Roman" w:cs="Times New Roman"/>
          <w:color w:val="auto"/>
          <w:sz w:val="28"/>
          <w:szCs w:val="28"/>
          <w:lang w:val="ro-RO" w:eastAsia="ro-RO"/>
        </w:rPr>
        <w:t xml:space="preserve"> persoana își desfășoară activitatea utilizând resursele materiale impuse de platforma digitală de muncă, cu excepția dispozitivelor impuse de legislație, de autorități sau a celor necesare accesului la platformă, fără a condiționa accesul la aceasta;</w:t>
      </w:r>
      <w:r w:rsidRPr="00C10CE8">
        <w:rPr>
          <w:rFonts w:ascii="Times New Roman" w:eastAsia="Times New Roman" w:hAnsi="Times New Roman" w:cs="Times New Roman"/>
          <w:color w:val="auto"/>
          <w:sz w:val="28"/>
          <w:szCs w:val="28"/>
          <w:lang w:val="ro-RO" w:eastAsia="ro-RO"/>
        </w:rPr>
        <w:br/>
      </w:r>
      <w:r w:rsidRPr="00C10CE8">
        <w:rPr>
          <w:rFonts w:ascii="Times New Roman" w:eastAsia="Times New Roman" w:hAnsi="Times New Roman" w:cs="Times New Roman"/>
          <w:color w:val="auto"/>
          <w:sz w:val="28"/>
          <w:szCs w:val="28"/>
          <w:lang w:val="ro-RO" w:eastAsia="ro-RO"/>
        </w:rPr>
        <w:lastRenderedPageBreak/>
        <w:t>→ impunerea mijloacelor de lucru este un indicator clar al controlului exercitat de platformă.</w:t>
      </w:r>
    </w:p>
    <w:p w14:paraId="5C9464CE"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Prin stabilirea acestor criterii cumulative, proiectul de act normativ:</w:t>
      </w:r>
    </w:p>
    <w:p w14:paraId="43EC1AB0" w14:textId="77777777" w:rsidR="00C10CE8" w:rsidRPr="00C10CE8" w:rsidRDefault="00C10CE8" w:rsidP="00C10CE8">
      <w:pPr>
        <w:numPr>
          <w:ilvl w:val="0"/>
          <w:numId w:val="6"/>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protejează persoanele aflate într-o relație de muncă dependentă reală</w:t>
      </w:r>
      <w:r w:rsidRPr="00C10CE8">
        <w:rPr>
          <w:rFonts w:ascii="Times New Roman" w:eastAsia="Times New Roman" w:hAnsi="Times New Roman" w:cs="Times New Roman"/>
          <w:color w:val="auto"/>
          <w:sz w:val="28"/>
          <w:szCs w:val="28"/>
          <w:lang w:val="ro-RO" w:eastAsia="ro-RO"/>
        </w:rPr>
        <w:t>;</w:t>
      </w:r>
    </w:p>
    <w:p w14:paraId="53C8A256" w14:textId="77777777" w:rsidR="00C10CE8" w:rsidRPr="00C10CE8" w:rsidRDefault="00C10CE8" w:rsidP="00C10CE8">
      <w:pPr>
        <w:numPr>
          <w:ilvl w:val="0"/>
          <w:numId w:val="6"/>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menține și legitimează munca independentă autentică</w:t>
      </w:r>
      <w:r w:rsidRPr="00C10CE8">
        <w:rPr>
          <w:rFonts w:ascii="Times New Roman" w:eastAsia="Times New Roman" w:hAnsi="Times New Roman" w:cs="Times New Roman"/>
          <w:color w:val="auto"/>
          <w:sz w:val="28"/>
          <w:szCs w:val="28"/>
          <w:lang w:val="ro-RO" w:eastAsia="ro-RO"/>
        </w:rPr>
        <w:t xml:space="preserve"> și </w:t>
      </w:r>
      <w:proofErr w:type="spellStart"/>
      <w:r w:rsidRPr="00C10CE8">
        <w:rPr>
          <w:rFonts w:ascii="Times New Roman" w:eastAsia="Times New Roman" w:hAnsi="Times New Roman" w:cs="Times New Roman"/>
          <w:color w:val="auto"/>
          <w:sz w:val="28"/>
          <w:szCs w:val="28"/>
          <w:lang w:val="ro-RO" w:eastAsia="ro-RO"/>
        </w:rPr>
        <w:t>antreprenoriatul</w:t>
      </w:r>
      <w:proofErr w:type="spellEnd"/>
      <w:r w:rsidRPr="00C10CE8">
        <w:rPr>
          <w:rFonts w:ascii="Times New Roman" w:eastAsia="Times New Roman" w:hAnsi="Times New Roman" w:cs="Times New Roman"/>
          <w:color w:val="auto"/>
          <w:sz w:val="28"/>
          <w:szCs w:val="28"/>
          <w:lang w:val="ro-RO" w:eastAsia="ro-RO"/>
        </w:rPr>
        <w:t xml:space="preserve"> digital;</w:t>
      </w:r>
    </w:p>
    <w:p w14:paraId="53089342" w14:textId="77777777" w:rsidR="00C10CE8" w:rsidRPr="00C10CE8" w:rsidRDefault="00C10CE8" w:rsidP="00C10CE8">
      <w:pPr>
        <w:numPr>
          <w:ilvl w:val="0"/>
          <w:numId w:val="6"/>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evită reîncadrările forțate sau generalizate;</w:t>
      </w:r>
    </w:p>
    <w:p w14:paraId="0B0638E6" w14:textId="77777777" w:rsidR="00C10CE8" w:rsidRPr="00C10CE8" w:rsidRDefault="00C10CE8" w:rsidP="00C10CE8">
      <w:pPr>
        <w:numPr>
          <w:ilvl w:val="0"/>
          <w:numId w:val="6"/>
        </w:num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oferă IMM-urilor și platformelor digitale un cadru predictibil și coerent.</w:t>
      </w:r>
    </w:p>
    <w:p w14:paraId="08C194F1" w14:textId="77777777" w:rsidR="00C10CE8" w:rsidRPr="00C10CE8" w:rsidRDefault="00C10CE8" w:rsidP="00C10CE8">
      <w:pPr>
        <w:shd w:val="clear" w:color="auto" w:fill="D9D9D9"/>
        <w:spacing w:before="100" w:beforeAutospacing="1" w:after="100" w:afterAutospacing="1" w:line="240" w:lineRule="auto"/>
        <w:rPr>
          <w:rFonts w:ascii="Times New Roman" w:eastAsia="Times New Roman" w:hAnsi="Times New Roman" w:cs="Times New Roman"/>
          <w:b/>
          <w:bCs/>
          <w:color w:val="auto"/>
          <w:sz w:val="28"/>
          <w:szCs w:val="28"/>
          <w:lang w:val="ro-RO" w:eastAsia="ro-RO"/>
        </w:rPr>
      </w:pPr>
      <w:r w:rsidRPr="00C10CE8">
        <w:rPr>
          <w:rFonts w:ascii="Times New Roman" w:eastAsia="Times New Roman" w:hAnsi="Times New Roman" w:cs="Times New Roman"/>
          <w:b/>
          <w:bCs/>
          <w:color w:val="auto"/>
          <w:sz w:val="28"/>
          <w:szCs w:val="28"/>
          <w:lang w:val="ro-RO" w:eastAsia="ro-RO"/>
        </w:rPr>
        <w:t>Poziția IMM România</w:t>
      </w:r>
    </w:p>
    <w:p w14:paraId="6C3E7A3C" w14:textId="77777777" w:rsidR="00213FC2"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IMM România consideră că actul normativ de transpunere a Directivei europene privind munca pe platforme trebuie să urmărească un echilibru corect între protecția lucrătorilor și susținerea mediului antreprenorial. </w:t>
      </w:r>
    </w:p>
    <w:p w14:paraId="057B9CAC" w14:textId="6A98353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213FC2">
        <w:rPr>
          <w:rFonts w:ascii="Times New Roman" w:eastAsia="Times New Roman" w:hAnsi="Times New Roman" w:cs="Times New Roman"/>
          <w:b/>
          <w:bCs/>
          <w:color w:val="auto"/>
          <w:sz w:val="28"/>
          <w:szCs w:val="28"/>
          <w:lang w:val="ro-RO" w:eastAsia="ro-RO"/>
        </w:rPr>
        <w:t>Susținem ferm necesitatea unei încadrări profesionale corecte a persoanelor care desfășoară activități prin intermediul platformelor digitale, precum și respectarea obligațiilor fiscale, prin plata corectă a taxelor și contribuțiilor către bugetul de stat.</w:t>
      </w:r>
      <w:r w:rsidRPr="00C10CE8">
        <w:rPr>
          <w:rFonts w:ascii="Times New Roman" w:eastAsia="Times New Roman" w:hAnsi="Times New Roman" w:cs="Times New Roman"/>
          <w:color w:val="auto"/>
          <w:sz w:val="28"/>
          <w:szCs w:val="28"/>
          <w:lang w:val="ro-RO" w:eastAsia="ro-RO"/>
        </w:rPr>
        <w:t xml:space="preserve"> Un cadru clar și predictibil este esențial atât pentru lucrători, cât și pentru operatorii economici.</w:t>
      </w:r>
    </w:p>
    <w:p w14:paraId="72363205" w14:textId="77777777"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 xml:space="preserve">Totodată, </w:t>
      </w:r>
      <w:r w:rsidRPr="00213FC2">
        <w:rPr>
          <w:rFonts w:ascii="Times New Roman" w:eastAsia="Times New Roman" w:hAnsi="Times New Roman" w:cs="Times New Roman"/>
          <w:b/>
          <w:bCs/>
          <w:color w:val="auto"/>
          <w:sz w:val="28"/>
          <w:szCs w:val="28"/>
          <w:lang w:val="ro-RO" w:eastAsia="ro-RO"/>
        </w:rPr>
        <w:t xml:space="preserve">subliniem importanța menținerii și sprijinirii </w:t>
      </w:r>
      <w:proofErr w:type="spellStart"/>
      <w:r w:rsidRPr="00213FC2">
        <w:rPr>
          <w:rFonts w:ascii="Times New Roman" w:eastAsia="Times New Roman" w:hAnsi="Times New Roman" w:cs="Times New Roman"/>
          <w:b/>
          <w:bCs/>
          <w:color w:val="auto"/>
          <w:sz w:val="28"/>
          <w:szCs w:val="28"/>
          <w:lang w:val="ro-RO" w:eastAsia="ro-RO"/>
        </w:rPr>
        <w:t>antreprenoriatului</w:t>
      </w:r>
      <w:proofErr w:type="spellEnd"/>
      <w:r w:rsidRPr="00213FC2">
        <w:rPr>
          <w:rFonts w:ascii="Times New Roman" w:eastAsia="Times New Roman" w:hAnsi="Times New Roman" w:cs="Times New Roman"/>
          <w:b/>
          <w:bCs/>
          <w:color w:val="auto"/>
          <w:sz w:val="28"/>
          <w:szCs w:val="28"/>
          <w:lang w:val="ro-RO" w:eastAsia="ro-RO"/>
        </w:rPr>
        <w:t xml:space="preserve"> și a activităților independente</w:t>
      </w:r>
      <w:r w:rsidRPr="00C10CE8">
        <w:rPr>
          <w:rFonts w:ascii="Times New Roman" w:eastAsia="Times New Roman" w:hAnsi="Times New Roman" w:cs="Times New Roman"/>
          <w:color w:val="auto"/>
          <w:sz w:val="28"/>
          <w:szCs w:val="28"/>
          <w:lang w:val="ro-RO" w:eastAsia="ro-RO"/>
        </w:rPr>
        <w:t xml:space="preserve">, care reprezintă un motor important de inovare, flexibilitate și creștere economică. </w:t>
      </w:r>
    </w:p>
    <w:p w14:paraId="57B5CEFE" w14:textId="77777777" w:rsidR="00213FC2"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213FC2">
        <w:rPr>
          <w:rFonts w:ascii="Times New Roman" w:eastAsia="Times New Roman" w:hAnsi="Times New Roman" w:cs="Times New Roman"/>
          <w:b/>
          <w:bCs/>
          <w:color w:val="auto"/>
          <w:sz w:val="28"/>
          <w:szCs w:val="28"/>
          <w:lang w:val="ro-RO" w:eastAsia="ro-RO"/>
        </w:rPr>
        <w:t>România trebuie să susțină în mod activ economia digitală</w:t>
      </w:r>
      <w:r w:rsidRPr="00C10CE8">
        <w:rPr>
          <w:rFonts w:ascii="Times New Roman" w:eastAsia="Times New Roman" w:hAnsi="Times New Roman" w:cs="Times New Roman"/>
          <w:color w:val="auto"/>
          <w:sz w:val="28"/>
          <w:szCs w:val="28"/>
          <w:lang w:val="ro-RO" w:eastAsia="ro-RO"/>
        </w:rPr>
        <w:t xml:space="preserve">, iar cadrul legislativ rezultat din transpunerea directivei trebuie să fie adaptat realităților pieței, proporțional și suficient de flexibil pentru a permite dezvoltarea acestui nou tip de activitate economică. </w:t>
      </w:r>
    </w:p>
    <w:p w14:paraId="2429EB38" w14:textId="33E44848" w:rsidR="00C10CE8" w:rsidRPr="00C10CE8" w:rsidRDefault="00C10CE8" w:rsidP="00C10CE8">
      <w:pPr>
        <w:spacing w:before="100" w:beforeAutospacing="1" w:after="100" w:afterAutospacing="1" w:line="240" w:lineRule="auto"/>
        <w:jc w:val="both"/>
        <w:rPr>
          <w:rFonts w:ascii="Times New Roman" w:eastAsia="Times New Roman" w:hAnsi="Times New Roman" w:cs="Times New Roman"/>
          <w:color w:val="auto"/>
          <w:sz w:val="28"/>
          <w:szCs w:val="28"/>
          <w:lang w:val="ro-RO" w:eastAsia="ro-RO"/>
        </w:rPr>
      </w:pPr>
      <w:r w:rsidRPr="00C10CE8">
        <w:rPr>
          <w:rFonts w:ascii="Times New Roman" w:eastAsia="Times New Roman" w:hAnsi="Times New Roman" w:cs="Times New Roman"/>
          <w:color w:val="auto"/>
          <w:sz w:val="28"/>
          <w:szCs w:val="28"/>
          <w:lang w:val="ro-RO" w:eastAsia="ro-RO"/>
        </w:rPr>
        <w:t>Reglementările nu trebuie să descurajeze inițiativa privată sau să limiteze modelele economice moderne, ci să creeze condiții pentru o dezvoltare sustenabilă, competitivă și conformă cu principiile economiei de piață.</w:t>
      </w:r>
    </w:p>
    <w:p w14:paraId="3BBC6F4D" w14:textId="6F0D77E9" w:rsidR="00910B4E" w:rsidRPr="00C10CE8" w:rsidRDefault="00910B4E" w:rsidP="00C10CE8"/>
    <w:sectPr w:rsidR="00910B4E" w:rsidRPr="00C10CE8" w:rsidSect="0042346D">
      <w:headerReference w:type="even" r:id="rId7"/>
      <w:headerReference w:type="default" r:id="rId8"/>
      <w:footerReference w:type="default" r:id="rId9"/>
      <w:headerReference w:type="first" r:id="rId10"/>
      <w:footerReference w:type="first" r:id="rId11"/>
      <w:pgSz w:w="11906" w:h="16838" w:code="9"/>
      <w:pgMar w:top="1786" w:right="849" w:bottom="1219" w:left="1123" w:header="142" w:footer="2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4250" w14:textId="77777777" w:rsidR="009B625A" w:rsidRDefault="009B625A" w:rsidP="0042346D">
      <w:pPr>
        <w:spacing w:after="0" w:line="240" w:lineRule="auto"/>
      </w:pPr>
      <w:r>
        <w:separator/>
      </w:r>
    </w:p>
  </w:endnote>
  <w:endnote w:type="continuationSeparator" w:id="0">
    <w:p w14:paraId="39D576FC" w14:textId="77777777" w:rsidR="009B625A" w:rsidRDefault="009B625A" w:rsidP="0042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42C" w14:textId="77777777" w:rsidR="0042346D" w:rsidRDefault="0042346D">
    <w:pPr>
      <w:pStyle w:val="Subsol"/>
    </w:pPr>
    <w:r>
      <w:rPr>
        <w:noProof/>
      </w:rPr>
      <w:drawing>
        <wp:anchor distT="0" distB="0" distL="114300" distR="114300" simplePos="0" relativeHeight="251656192" behindDoc="0" locked="0" layoutInCell="1" allowOverlap="1" wp14:anchorId="41DCDB9D" wp14:editId="50E1F44B">
          <wp:simplePos x="0" y="0"/>
          <wp:positionH relativeFrom="page">
            <wp:align>right</wp:align>
          </wp:positionH>
          <wp:positionV relativeFrom="paragraph">
            <wp:posOffset>78740</wp:posOffset>
          </wp:positionV>
          <wp:extent cx="7749540" cy="1503045"/>
          <wp:effectExtent l="0" t="0" r="3810" b="1905"/>
          <wp:wrapNone/>
          <wp:docPr id="19506451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antet-ai-10.png"/>
                  <pic:cNvPicPr/>
                </pic:nvPicPr>
                <pic:blipFill>
                  <a:blip r:embed="rId1">
                    <a:extLst>
                      <a:ext uri="{28A0092B-C50C-407E-A947-70E740481C1C}">
                        <a14:useLocalDpi xmlns:a14="http://schemas.microsoft.com/office/drawing/2010/main" val="0"/>
                      </a:ext>
                    </a:extLst>
                  </a:blip>
                  <a:stretch>
                    <a:fillRect/>
                  </a:stretch>
                </pic:blipFill>
                <pic:spPr>
                  <a:xfrm>
                    <a:off x="0" y="0"/>
                    <a:ext cx="7749540" cy="15030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F2DC" w14:textId="77777777" w:rsidR="0042346D" w:rsidRDefault="0042346D" w:rsidP="00C50B67">
    <w:pPr>
      <w:pStyle w:val="Subsol"/>
      <w:ind w:left="-1123" w:right="-1113"/>
    </w:pPr>
    <w:r>
      <w:rPr>
        <w:noProof/>
      </w:rPr>
      <w:drawing>
        <wp:anchor distT="0" distB="0" distL="114300" distR="114300" simplePos="0" relativeHeight="251657216" behindDoc="0" locked="0" layoutInCell="1" allowOverlap="1" wp14:anchorId="521BD53E" wp14:editId="10D09660">
          <wp:simplePos x="0" y="0"/>
          <wp:positionH relativeFrom="margin">
            <wp:posOffset>-1254125</wp:posOffset>
          </wp:positionH>
          <wp:positionV relativeFrom="paragraph">
            <wp:posOffset>40640</wp:posOffset>
          </wp:positionV>
          <wp:extent cx="8077200" cy="1503045"/>
          <wp:effectExtent l="0" t="0" r="0" b="1905"/>
          <wp:wrapNone/>
          <wp:docPr id="138941537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antet-ai-10.png"/>
                  <pic:cNvPicPr/>
                </pic:nvPicPr>
                <pic:blipFill>
                  <a:blip r:embed="rId1">
                    <a:extLst>
                      <a:ext uri="{28A0092B-C50C-407E-A947-70E740481C1C}">
                        <a14:useLocalDpi xmlns:a14="http://schemas.microsoft.com/office/drawing/2010/main" val="0"/>
                      </a:ext>
                    </a:extLst>
                  </a:blip>
                  <a:stretch>
                    <a:fillRect/>
                  </a:stretch>
                </pic:blipFill>
                <pic:spPr>
                  <a:xfrm>
                    <a:off x="0" y="0"/>
                    <a:ext cx="8077200" cy="1503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417B" w14:textId="77777777" w:rsidR="009B625A" w:rsidRDefault="009B625A" w:rsidP="0042346D">
      <w:pPr>
        <w:spacing w:after="0" w:line="240" w:lineRule="auto"/>
      </w:pPr>
      <w:r>
        <w:separator/>
      </w:r>
    </w:p>
  </w:footnote>
  <w:footnote w:type="continuationSeparator" w:id="0">
    <w:p w14:paraId="2C2AA8A1" w14:textId="77777777" w:rsidR="009B625A" w:rsidRDefault="009B625A" w:rsidP="0042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DEE1" w14:textId="77777777" w:rsidR="0042346D" w:rsidRDefault="00000000">
    <w:pPr>
      <w:pStyle w:val="Antet"/>
    </w:pPr>
    <w:r>
      <w:rPr>
        <w:noProof/>
      </w:rPr>
      <w:pict w14:anchorId="5DD78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05613" o:spid="_x0000_s1025" type="#_x0000_t75" alt="/Users/flo/Documents/work/CNIPMMR/IMM ROMANIA/antet-ai.png" style="position:absolute;margin-left:0;margin-top:0;width:482.8pt;height:683.25pt;z-index:-251657216;mso-wrap-edited:f;mso-width-percent:0;mso-height-percent:0;mso-position-horizontal:center;mso-position-horizontal-relative:margin;mso-position-vertical:center;mso-position-vertical-relative:margin;mso-width-percent:0;mso-height-percent:0" o:allowincell="f">
          <v:imagedata r:id="rId1" o:title="antet-a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C9A3" w14:textId="77777777" w:rsidR="0042346D" w:rsidRDefault="0042346D" w:rsidP="00AE0651">
    <w:pPr>
      <w:pStyle w:val="Antet"/>
      <w:ind w:left="-993"/>
    </w:pPr>
    <w:r>
      <w:rPr>
        <w:noProof/>
      </w:rPr>
      <w:drawing>
        <wp:inline distT="0" distB="0" distL="0" distR="0" wp14:anchorId="1AF2977C" wp14:editId="67AA28D7">
          <wp:extent cx="7414260" cy="1420495"/>
          <wp:effectExtent l="0" t="0" r="0" b="8255"/>
          <wp:docPr id="124603963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842" cy="14234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CE6C" w14:textId="77777777" w:rsidR="0042346D" w:rsidRDefault="0042346D" w:rsidP="00094B32">
    <w:pPr>
      <w:pStyle w:val="Antet"/>
      <w:ind w:left="4820"/>
    </w:pPr>
    <w:r>
      <w:rPr>
        <w:rFonts w:ascii="Open Sans" w:hAnsi="Open Sans" w:cs="Open Sans"/>
        <w:noProof/>
        <w:color w:val="000000"/>
        <w:sz w:val="21"/>
        <w:szCs w:val="21"/>
      </w:rPr>
      <w:drawing>
        <wp:anchor distT="0" distB="0" distL="114300" distR="114300" simplePos="0" relativeHeight="251658240" behindDoc="0" locked="0" layoutInCell="1" allowOverlap="1" wp14:anchorId="663466F0" wp14:editId="035DE759">
          <wp:simplePos x="0" y="0"/>
          <wp:positionH relativeFrom="page">
            <wp:posOffset>-30480</wp:posOffset>
          </wp:positionH>
          <wp:positionV relativeFrom="paragraph">
            <wp:posOffset>-327025</wp:posOffset>
          </wp:positionV>
          <wp:extent cx="7581479" cy="1246505"/>
          <wp:effectExtent l="0" t="0" r="635" b="0"/>
          <wp:wrapNone/>
          <wp:docPr id="20197408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ntet-ai3_01.jpg"/>
                  <pic:cNvPicPr/>
                </pic:nvPicPr>
                <pic:blipFill>
                  <a:blip r:embed="rId1">
                    <a:extLst>
                      <a:ext uri="{28A0092B-C50C-407E-A947-70E740481C1C}">
                        <a14:useLocalDpi xmlns:a14="http://schemas.microsoft.com/office/drawing/2010/main" val="0"/>
                      </a:ext>
                    </a:extLst>
                  </a:blip>
                  <a:stretch>
                    <a:fillRect/>
                  </a:stretch>
                </pic:blipFill>
                <pic:spPr>
                  <a:xfrm>
                    <a:off x="0" y="0"/>
                    <a:ext cx="7582333" cy="1246645"/>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000000"/>
        <w:sz w:val="21"/>
        <w:szCs w:val="21"/>
      </w:rPr>
      <w:softHyphen/>
    </w:r>
    <w:r>
      <w:rPr>
        <w:rFonts w:ascii="Open Sans" w:hAnsi="Open Sans" w:cs="Open Sans"/>
        <w:color w:val="00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16196496"/>
    <w:multiLevelType w:val="multilevel"/>
    <w:tmpl w:val="2DC2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0740C"/>
    <w:multiLevelType w:val="hybridMultilevel"/>
    <w:tmpl w:val="0758FB8A"/>
    <w:lvl w:ilvl="0" w:tplc="289EB29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56361D9"/>
    <w:multiLevelType w:val="hybridMultilevel"/>
    <w:tmpl w:val="756E7BD2"/>
    <w:lvl w:ilvl="0" w:tplc="C03E9DC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4AB3668C"/>
    <w:multiLevelType w:val="hybridMultilevel"/>
    <w:tmpl w:val="A53ECE8A"/>
    <w:lvl w:ilvl="0" w:tplc="F93040FC">
      <w:start w:val="1"/>
      <w:numFmt w:val="bullet"/>
      <w:lvlText w:val=""/>
      <w:lvlPicBulletId w:val="0"/>
      <w:lvlJc w:val="left"/>
      <w:pPr>
        <w:tabs>
          <w:tab w:val="num" w:pos="720"/>
        </w:tabs>
        <w:ind w:left="720" w:hanging="360"/>
      </w:pPr>
      <w:rPr>
        <w:rFonts w:ascii="Symbol" w:hAnsi="Symbol" w:hint="default"/>
      </w:rPr>
    </w:lvl>
    <w:lvl w:ilvl="1" w:tplc="75B65E4C" w:tentative="1">
      <w:start w:val="1"/>
      <w:numFmt w:val="bullet"/>
      <w:lvlText w:val=""/>
      <w:lvlJc w:val="left"/>
      <w:pPr>
        <w:tabs>
          <w:tab w:val="num" w:pos="1440"/>
        </w:tabs>
        <w:ind w:left="1440" w:hanging="360"/>
      </w:pPr>
      <w:rPr>
        <w:rFonts w:ascii="Symbol" w:hAnsi="Symbol" w:hint="default"/>
      </w:rPr>
    </w:lvl>
    <w:lvl w:ilvl="2" w:tplc="0AAA6B7A" w:tentative="1">
      <w:start w:val="1"/>
      <w:numFmt w:val="bullet"/>
      <w:lvlText w:val=""/>
      <w:lvlJc w:val="left"/>
      <w:pPr>
        <w:tabs>
          <w:tab w:val="num" w:pos="2160"/>
        </w:tabs>
        <w:ind w:left="2160" w:hanging="360"/>
      </w:pPr>
      <w:rPr>
        <w:rFonts w:ascii="Symbol" w:hAnsi="Symbol" w:hint="default"/>
      </w:rPr>
    </w:lvl>
    <w:lvl w:ilvl="3" w:tplc="8A7C5B44" w:tentative="1">
      <w:start w:val="1"/>
      <w:numFmt w:val="bullet"/>
      <w:lvlText w:val=""/>
      <w:lvlJc w:val="left"/>
      <w:pPr>
        <w:tabs>
          <w:tab w:val="num" w:pos="2880"/>
        </w:tabs>
        <w:ind w:left="2880" w:hanging="360"/>
      </w:pPr>
      <w:rPr>
        <w:rFonts w:ascii="Symbol" w:hAnsi="Symbol" w:hint="default"/>
      </w:rPr>
    </w:lvl>
    <w:lvl w:ilvl="4" w:tplc="C9C87C3C" w:tentative="1">
      <w:start w:val="1"/>
      <w:numFmt w:val="bullet"/>
      <w:lvlText w:val=""/>
      <w:lvlJc w:val="left"/>
      <w:pPr>
        <w:tabs>
          <w:tab w:val="num" w:pos="3600"/>
        </w:tabs>
        <w:ind w:left="3600" w:hanging="360"/>
      </w:pPr>
      <w:rPr>
        <w:rFonts w:ascii="Symbol" w:hAnsi="Symbol" w:hint="default"/>
      </w:rPr>
    </w:lvl>
    <w:lvl w:ilvl="5" w:tplc="66EE18DA" w:tentative="1">
      <w:start w:val="1"/>
      <w:numFmt w:val="bullet"/>
      <w:lvlText w:val=""/>
      <w:lvlJc w:val="left"/>
      <w:pPr>
        <w:tabs>
          <w:tab w:val="num" w:pos="4320"/>
        </w:tabs>
        <w:ind w:left="4320" w:hanging="360"/>
      </w:pPr>
      <w:rPr>
        <w:rFonts w:ascii="Symbol" w:hAnsi="Symbol" w:hint="default"/>
      </w:rPr>
    </w:lvl>
    <w:lvl w:ilvl="6" w:tplc="C6788BC8" w:tentative="1">
      <w:start w:val="1"/>
      <w:numFmt w:val="bullet"/>
      <w:lvlText w:val=""/>
      <w:lvlJc w:val="left"/>
      <w:pPr>
        <w:tabs>
          <w:tab w:val="num" w:pos="5040"/>
        </w:tabs>
        <w:ind w:left="5040" w:hanging="360"/>
      </w:pPr>
      <w:rPr>
        <w:rFonts w:ascii="Symbol" w:hAnsi="Symbol" w:hint="default"/>
      </w:rPr>
    </w:lvl>
    <w:lvl w:ilvl="7" w:tplc="0BD8CB44" w:tentative="1">
      <w:start w:val="1"/>
      <w:numFmt w:val="bullet"/>
      <w:lvlText w:val=""/>
      <w:lvlJc w:val="left"/>
      <w:pPr>
        <w:tabs>
          <w:tab w:val="num" w:pos="5760"/>
        </w:tabs>
        <w:ind w:left="5760" w:hanging="360"/>
      </w:pPr>
      <w:rPr>
        <w:rFonts w:ascii="Symbol" w:hAnsi="Symbol" w:hint="default"/>
      </w:rPr>
    </w:lvl>
    <w:lvl w:ilvl="8" w:tplc="A816E51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C413E5A"/>
    <w:multiLevelType w:val="multilevel"/>
    <w:tmpl w:val="7B5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F6847"/>
    <w:multiLevelType w:val="hybridMultilevel"/>
    <w:tmpl w:val="D7D0DD42"/>
    <w:lvl w:ilvl="0" w:tplc="5C50EF66">
      <w:start w:val="2"/>
      <w:numFmt w:val="bullet"/>
      <w:lvlText w:val="-"/>
      <w:lvlJc w:val="left"/>
      <w:pPr>
        <w:ind w:left="720" w:hanging="360"/>
      </w:pPr>
      <w:rPr>
        <w:rFonts w:ascii="Tahoma" w:eastAsiaTheme="minorHAnsi" w:hAnsi="Tahoma" w:cs="Tahoma"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69834642">
    <w:abstractNumId w:val="1"/>
  </w:num>
  <w:num w:numId="2" w16cid:durableId="1457262683">
    <w:abstractNumId w:val="5"/>
  </w:num>
  <w:num w:numId="3" w16cid:durableId="174421095">
    <w:abstractNumId w:val="2"/>
  </w:num>
  <w:num w:numId="4" w16cid:durableId="2004819951">
    <w:abstractNumId w:val="3"/>
  </w:num>
  <w:num w:numId="5" w16cid:durableId="338117249">
    <w:abstractNumId w:val="0"/>
  </w:num>
  <w:num w:numId="6" w16cid:durableId="182577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6D"/>
    <w:rsid w:val="000150FF"/>
    <w:rsid w:val="00024299"/>
    <w:rsid w:val="000E5172"/>
    <w:rsid w:val="0013019F"/>
    <w:rsid w:val="001801F0"/>
    <w:rsid w:val="00192B6A"/>
    <w:rsid w:val="001C4B8F"/>
    <w:rsid w:val="001F03F6"/>
    <w:rsid w:val="00213FC2"/>
    <w:rsid w:val="00224A1F"/>
    <w:rsid w:val="00257D18"/>
    <w:rsid w:val="00276BFB"/>
    <w:rsid w:val="0029596D"/>
    <w:rsid w:val="002F2961"/>
    <w:rsid w:val="00387444"/>
    <w:rsid w:val="0042346D"/>
    <w:rsid w:val="004F0793"/>
    <w:rsid w:val="005638B7"/>
    <w:rsid w:val="005D1B02"/>
    <w:rsid w:val="006106D4"/>
    <w:rsid w:val="00663D2F"/>
    <w:rsid w:val="00683E32"/>
    <w:rsid w:val="00691C79"/>
    <w:rsid w:val="006E259A"/>
    <w:rsid w:val="007077B0"/>
    <w:rsid w:val="00737EA5"/>
    <w:rsid w:val="0078726D"/>
    <w:rsid w:val="007B6310"/>
    <w:rsid w:val="007C1D67"/>
    <w:rsid w:val="007E0F75"/>
    <w:rsid w:val="008116A9"/>
    <w:rsid w:val="008E7AF7"/>
    <w:rsid w:val="00910B4E"/>
    <w:rsid w:val="00962460"/>
    <w:rsid w:val="0098212C"/>
    <w:rsid w:val="009B625A"/>
    <w:rsid w:val="00AC48FA"/>
    <w:rsid w:val="00AF003B"/>
    <w:rsid w:val="00B43404"/>
    <w:rsid w:val="00C10CE8"/>
    <w:rsid w:val="00C14D13"/>
    <w:rsid w:val="00C52A2A"/>
    <w:rsid w:val="00CC67AE"/>
    <w:rsid w:val="00CE5711"/>
    <w:rsid w:val="00CF21FD"/>
    <w:rsid w:val="00CF77C1"/>
    <w:rsid w:val="00D157B7"/>
    <w:rsid w:val="00D30E65"/>
    <w:rsid w:val="00DA3980"/>
    <w:rsid w:val="00DA6803"/>
    <w:rsid w:val="00DD4CC0"/>
    <w:rsid w:val="00E159C2"/>
    <w:rsid w:val="00E15FA6"/>
    <w:rsid w:val="00E52A40"/>
    <w:rsid w:val="00E56392"/>
    <w:rsid w:val="00EA521D"/>
    <w:rsid w:val="00EB2295"/>
    <w:rsid w:val="00EC4EA7"/>
    <w:rsid w:val="00F816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06FC1"/>
  <w15:chartTrackingRefBased/>
  <w15:docId w15:val="{89A825FC-C9A7-464B-B31F-96A399EF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6D"/>
    <w:pPr>
      <w:spacing w:after="60" w:line="288" w:lineRule="auto"/>
    </w:pPr>
    <w:rPr>
      <w:color w:val="44546A" w:themeColor="text2"/>
      <w:lang w:val="en-US" w:eastAsia="ja-JP"/>
    </w:rPr>
  </w:style>
  <w:style w:type="paragraph" w:styleId="Titlu1">
    <w:name w:val="heading 1"/>
    <w:basedOn w:val="Normal"/>
    <w:next w:val="Normal"/>
    <w:link w:val="Titlu1Caracter"/>
    <w:uiPriority w:val="9"/>
    <w:qFormat/>
    <w:rsid w:val="00423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23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2346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2346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2346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2346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2346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2346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2346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2346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2346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2346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2346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2346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2346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2346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2346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2346D"/>
    <w:rPr>
      <w:rFonts w:eastAsiaTheme="majorEastAsia" w:cstheme="majorBidi"/>
      <w:color w:val="272727" w:themeColor="text1" w:themeTint="D8"/>
    </w:rPr>
  </w:style>
  <w:style w:type="paragraph" w:styleId="Titlu">
    <w:name w:val="Title"/>
    <w:basedOn w:val="Normal"/>
    <w:next w:val="Normal"/>
    <w:link w:val="TitluCaracter"/>
    <w:uiPriority w:val="10"/>
    <w:qFormat/>
    <w:rsid w:val="00423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2346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2346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2346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2346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2346D"/>
    <w:rPr>
      <w:i/>
      <w:iCs/>
      <w:color w:val="404040" w:themeColor="text1" w:themeTint="BF"/>
    </w:rPr>
  </w:style>
  <w:style w:type="paragraph" w:styleId="Listparagraf">
    <w:name w:val="List Paragraph"/>
    <w:aliases w:val="Akapit z listą BS,List Paragraph1,Outlines a.b.c.,List_Paragraph,Multilevel para_II,Akapit z lista BS,body 2,Listă paragraf1,Normal bullet 2,List Paragraph11,List Paragraph111,Antes de enumeración,Listă colorată - Accentuare 11,Bullet,3"/>
    <w:basedOn w:val="Normal"/>
    <w:link w:val="ListparagrafCaracter"/>
    <w:uiPriority w:val="34"/>
    <w:qFormat/>
    <w:rsid w:val="0042346D"/>
    <w:pPr>
      <w:ind w:left="720"/>
      <w:contextualSpacing/>
    </w:pPr>
  </w:style>
  <w:style w:type="character" w:styleId="Accentuareintens">
    <w:name w:val="Intense Emphasis"/>
    <w:basedOn w:val="Fontdeparagrafimplicit"/>
    <w:uiPriority w:val="21"/>
    <w:qFormat/>
    <w:rsid w:val="0042346D"/>
    <w:rPr>
      <w:i/>
      <w:iCs/>
      <w:color w:val="2F5496" w:themeColor="accent1" w:themeShade="BF"/>
    </w:rPr>
  </w:style>
  <w:style w:type="paragraph" w:styleId="Citatintens">
    <w:name w:val="Intense Quote"/>
    <w:basedOn w:val="Normal"/>
    <w:next w:val="Normal"/>
    <w:link w:val="CitatintensCaracter"/>
    <w:uiPriority w:val="30"/>
    <w:qFormat/>
    <w:rsid w:val="00423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2346D"/>
    <w:rPr>
      <w:i/>
      <w:iCs/>
      <w:color w:val="2F5496" w:themeColor="accent1" w:themeShade="BF"/>
    </w:rPr>
  </w:style>
  <w:style w:type="character" w:styleId="Referireintens">
    <w:name w:val="Intense Reference"/>
    <w:basedOn w:val="Fontdeparagrafimplicit"/>
    <w:uiPriority w:val="32"/>
    <w:qFormat/>
    <w:rsid w:val="0042346D"/>
    <w:rPr>
      <w:b/>
      <w:bCs/>
      <w:smallCaps/>
      <w:color w:val="2F5496" w:themeColor="accent1" w:themeShade="BF"/>
      <w:spacing w:val="5"/>
    </w:rPr>
  </w:style>
  <w:style w:type="paragraph" w:styleId="Antet">
    <w:name w:val="header"/>
    <w:basedOn w:val="Normal"/>
    <w:link w:val="AntetCaracter"/>
    <w:uiPriority w:val="99"/>
    <w:unhideWhenUsed/>
    <w:qFormat/>
    <w:rsid w:val="0042346D"/>
    <w:pPr>
      <w:spacing w:after="0" w:line="240" w:lineRule="auto"/>
    </w:pPr>
  </w:style>
  <w:style w:type="character" w:customStyle="1" w:styleId="AntetCaracter">
    <w:name w:val="Antet Caracter"/>
    <w:basedOn w:val="Fontdeparagrafimplicit"/>
    <w:link w:val="Antet"/>
    <w:uiPriority w:val="99"/>
    <w:rsid w:val="0042346D"/>
    <w:rPr>
      <w:color w:val="44546A" w:themeColor="text2"/>
      <w:lang w:val="en-US" w:eastAsia="ja-JP"/>
    </w:rPr>
  </w:style>
  <w:style w:type="paragraph" w:styleId="Subsol">
    <w:name w:val="footer"/>
    <w:basedOn w:val="Normal"/>
    <w:link w:val="SubsolCaracter"/>
    <w:uiPriority w:val="99"/>
    <w:unhideWhenUsed/>
    <w:qFormat/>
    <w:rsid w:val="0042346D"/>
    <w:pPr>
      <w:spacing w:after="0" w:line="240" w:lineRule="auto"/>
    </w:pPr>
    <w:rPr>
      <w:b/>
      <w:spacing w:val="21"/>
      <w:sz w:val="26"/>
    </w:rPr>
  </w:style>
  <w:style w:type="character" w:customStyle="1" w:styleId="SubsolCaracter">
    <w:name w:val="Subsol Caracter"/>
    <w:basedOn w:val="Fontdeparagrafimplicit"/>
    <w:link w:val="Subsol"/>
    <w:uiPriority w:val="99"/>
    <w:rsid w:val="0042346D"/>
    <w:rPr>
      <w:b/>
      <w:color w:val="44546A" w:themeColor="text2"/>
      <w:spacing w:val="21"/>
      <w:sz w:val="26"/>
      <w:lang w:val="en-US" w:eastAsia="ja-JP"/>
    </w:rPr>
  </w:style>
  <w:style w:type="paragraph" w:styleId="Textnotdesubsol">
    <w:name w:val="footnote text"/>
    <w:basedOn w:val="Normal"/>
    <w:link w:val="TextnotdesubsolCaracter"/>
    <w:uiPriority w:val="99"/>
    <w:semiHidden/>
    <w:unhideWhenUsed/>
    <w:rsid w:val="0042346D"/>
    <w:pPr>
      <w:spacing w:after="0" w:line="240" w:lineRule="auto"/>
    </w:pPr>
    <w:rPr>
      <w:color w:val="auto"/>
      <w:sz w:val="20"/>
      <w:szCs w:val="20"/>
      <w:lang w:val="ro-RO" w:eastAsia="en-US"/>
    </w:rPr>
  </w:style>
  <w:style w:type="character" w:customStyle="1" w:styleId="TextnotdesubsolCaracter">
    <w:name w:val="Text notă de subsol Caracter"/>
    <w:basedOn w:val="Fontdeparagrafimplicit"/>
    <w:link w:val="Textnotdesubsol"/>
    <w:uiPriority w:val="99"/>
    <w:semiHidden/>
    <w:rsid w:val="0042346D"/>
    <w:rPr>
      <w:sz w:val="20"/>
      <w:szCs w:val="20"/>
    </w:rPr>
  </w:style>
  <w:style w:type="character" w:styleId="Referinnotdesubsol">
    <w:name w:val="footnote reference"/>
    <w:basedOn w:val="Fontdeparagrafimplicit"/>
    <w:uiPriority w:val="99"/>
    <w:semiHidden/>
    <w:unhideWhenUsed/>
    <w:rsid w:val="0042346D"/>
    <w:rPr>
      <w:vertAlign w:val="superscript"/>
    </w:rPr>
  </w:style>
  <w:style w:type="character" w:customStyle="1" w:styleId="tal1">
    <w:name w:val="tal1"/>
    <w:basedOn w:val="Fontdeparagrafimplicit"/>
    <w:qFormat/>
    <w:rsid w:val="0042346D"/>
  </w:style>
  <w:style w:type="character" w:customStyle="1" w:styleId="ListparagrafCaracter">
    <w:name w:val="Listă paragraf Caracter"/>
    <w:aliases w:val="Akapit z listą BS Caracter,List Paragraph1 Caracter,Outlines a.b.c. Caracter,List_Paragraph Caracter,Multilevel para_II Caracter,Akapit z lista BS Caracter,body 2 Caracter,Listă paragraf1 Caracter,Normal bullet 2 Caracter"/>
    <w:basedOn w:val="Fontdeparagrafimplicit"/>
    <w:link w:val="Listparagraf"/>
    <w:uiPriority w:val="34"/>
    <w:qFormat/>
    <w:rsid w:val="0042346D"/>
  </w:style>
  <w:style w:type="character" w:styleId="Robust">
    <w:name w:val="Strong"/>
    <w:basedOn w:val="Fontdeparagrafimplicit"/>
    <w:uiPriority w:val="22"/>
    <w:qFormat/>
    <w:rsid w:val="00D30E65"/>
    <w:rPr>
      <w:b/>
      <w:bCs/>
    </w:rPr>
  </w:style>
  <w:style w:type="character" w:customStyle="1" w:styleId="alb">
    <w:name w:val="a_lb"/>
    <w:basedOn w:val="Fontdeparagrafimplicit"/>
    <w:rsid w:val="0091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4994</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vieru</dc:creator>
  <cp:keywords/>
  <dc:description/>
  <cp:lastModifiedBy>Catalina Voicu</cp:lastModifiedBy>
  <cp:revision>3</cp:revision>
  <cp:lastPrinted>2025-12-17T08:19:00Z</cp:lastPrinted>
  <dcterms:created xsi:type="dcterms:W3CDTF">2025-12-17T08:09:00Z</dcterms:created>
  <dcterms:modified xsi:type="dcterms:W3CDTF">2025-12-17T08:32:00Z</dcterms:modified>
</cp:coreProperties>
</file>