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083AD" w14:textId="33B5D827" w:rsidR="003368C8" w:rsidRPr="00312923" w:rsidRDefault="006527C2" w:rsidP="003368C8">
      <w:pPr>
        <w:jc w:val="both"/>
        <w:rPr>
          <w:rFonts w:ascii="Cambria" w:hAnsi="Cambria"/>
          <w:sz w:val="22"/>
          <w:szCs w:val="22"/>
        </w:rPr>
      </w:pPr>
      <w:r w:rsidRPr="00312923">
        <w:rPr>
          <w:rFonts w:ascii="Cambria" w:hAnsi="Cambria"/>
          <w:sz w:val="22"/>
          <w:szCs w:val="22"/>
          <w:lang w:val="pt-BR"/>
        </w:rPr>
        <w:t>În</w:t>
      </w:r>
      <w:r w:rsidR="003368C8" w:rsidRPr="00312923">
        <w:rPr>
          <w:rFonts w:ascii="Cambria" w:hAnsi="Cambria"/>
          <w:sz w:val="22"/>
          <w:szCs w:val="22"/>
        </w:rPr>
        <w:t xml:space="preserve"> </w:t>
      </w:r>
      <w:proofErr w:type="spellStart"/>
      <w:r w:rsidR="003368C8" w:rsidRPr="00312923">
        <w:rPr>
          <w:rFonts w:ascii="Cambria" w:hAnsi="Cambria"/>
          <w:sz w:val="22"/>
          <w:szCs w:val="22"/>
        </w:rPr>
        <w:t>legătura</w:t>
      </w:r>
      <w:proofErr w:type="spellEnd"/>
      <w:r w:rsidR="003368C8" w:rsidRPr="00312923">
        <w:rPr>
          <w:rFonts w:ascii="Cambria" w:hAnsi="Cambria"/>
          <w:sz w:val="22"/>
          <w:szCs w:val="22"/>
        </w:rPr>
        <w:t xml:space="preserve">̆ cu </w:t>
      </w:r>
      <w:proofErr w:type="spellStart"/>
      <w:r w:rsidR="003368C8" w:rsidRPr="00312923">
        <w:rPr>
          <w:rFonts w:ascii="Cambria" w:hAnsi="Cambria"/>
          <w:sz w:val="22"/>
          <w:szCs w:val="22"/>
        </w:rPr>
        <w:t>articolul</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publicat</w:t>
      </w:r>
      <w:proofErr w:type="spellEnd"/>
      <w:r w:rsidR="003368C8" w:rsidRPr="00312923">
        <w:rPr>
          <w:rFonts w:ascii="Cambria" w:hAnsi="Cambria"/>
          <w:sz w:val="22"/>
          <w:szCs w:val="22"/>
        </w:rPr>
        <w:t xml:space="preserve"> de Gândul, </w:t>
      </w:r>
      <w:proofErr w:type="spellStart"/>
      <w:r w:rsidR="003368C8" w:rsidRPr="00312923">
        <w:rPr>
          <w:rFonts w:ascii="Cambria" w:hAnsi="Cambria"/>
          <w:sz w:val="22"/>
          <w:szCs w:val="22"/>
        </w:rPr>
        <w:t>intitulat</w:t>
      </w:r>
      <w:proofErr w:type="spellEnd"/>
      <w:r w:rsidR="003368C8" w:rsidRPr="00312923">
        <w:rPr>
          <w:rFonts w:ascii="Cambria" w:hAnsi="Cambria"/>
          <w:sz w:val="22"/>
          <w:szCs w:val="22"/>
        </w:rPr>
        <w:t xml:space="preserve"> </w:t>
      </w:r>
      <w:r w:rsidR="003368C8" w:rsidRPr="00312923">
        <w:rPr>
          <w:rFonts w:ascii="Cambria" w:hAnsi="Cambria"/>
          <w:b/>
          <w:bCs/>
          <w:sz w:val="22"/>
          <w:szCs w:val="22"/>
        </w:rPr>
        <w:t>„</w:t>
      </w:r>
      <w:r w:rsidR="003368C8" w:rsidRPr="00312923">
        <w:rPr>
          <w:rFonts w:ascii="Cambria" w:hAnsi="Cambria"/>
          <w:b/>
          <w:bCs/>
          <w:i/>
          <w:iCs/>
          <w:sz w:val="22"/>
          <w:szCs w:val="22"/>
        </w:rPr>
        <w:t xml:space="preserve">DIICOT </w:t>
      </w:r>
      <w:proofErr w:type="spellStart"/>
      <w:r w:rsidR="003368C8" w:rsidRPr="00312923">
        <w:rPr>
          <w:rFonts w:ascii="Cambria" w:hAnsi="Cambria"/>
          <w:b/>
          <w:bCs/>
          <w:i/>
          <w:iCs/>
          <w:sz w:val="22"/>
          <w:szCs w:val="22"/>
        </w:rPr>
        <w:t>declanșează</w:t>
      </w:r>
      <w:proofErr w:type="spellEnd"/>
      <w:r w:rsidR="003368C8" w:rsidRPr="00312923">
        <w:rPr>
          <w:rFonts w:ascii="Cambria" w:hAnsi="Cambria"/>
          <w:b/>
          <w:bCs/>
          <w:i/>
          <w:iCs/>
          <w:sz w:val="22"/>
          <w:szCs w:val="22"/>
        </w:rPr>
        <w:t xml:space="preserve"> </w:t>
      </w:r>
      <w:proofErr w:type="spellStart"/>
      <w:r w:rsidR="003368C8" w:rsidRPr="00312923">
        <w:rPr>
          <w:rFonts w:ascii="Cambria" w:hAnsi="Cambria"/>
          <w:b/>
          <w:bCs/>
          <w:i/>
          <w:iCs/>
          <w:sz w:val="22"/>
          <w:szCs w:val="22"/>
        </w:rPr>
        <w:t>urmărirea</w:t>
      </w:r>
      <w:proofErr w:type="spellEnd"/>
      <w:r w:rsidR="003368C8" w:rsidRPr="00312923">
        <w:rPr>
          <w:rFonts w:ascii="Cambria" w:hAnsi="Cambria"/>
          <w:b/>
          <w:bCs/>
          <w:i/>
          <w:iCs/>
          <w:sz w:val="22"/>
          <w:szCs w:val="22"/>
        </w:rPr>
        <w:t xml:space="preserve"> </w:t>
      </w:r>
      <w:proofErr w:type="spellStart"/>
      <w:r w:rsidR="003368C8" w:rsidRPr="00312923">
        <w:rPr>
          <w:rFonts w:ascii="Cambria" w:hAnsi="Cambria"/>
          <w:b/>
          <w:bCs/>
          <w:i/>
          <w:iCs/>
          <w:sz w:val="22"/>
          <w:szCs w:val="22"/>
        </w:rPr>
        <w:t>penală</w:t>
      </w:r>
      <w:proofErr w:type="spellEnd"/>
      <w:r w:rsidR="003368C8" w:rsidRPr="00312923">
        <w:rPr>
          <w:rFonts w:ascii="Cambria" w:hAnsi="Cambria"/>
          <w:b/>
          <w:bCs/>
          <w:i/>
          <w:iCs/>
          <w:sz w:val="22"/>
          <w:szCs w:val="22"/>
        </w:rPr>
        <w:t xml:space="preserve"> in rem </w:t>
      </w:r>
      <w:proofErr w:type="spellStart"/>
      <w:r w:rsidR="003368C8" w:rsidRPr="00312923">
        <w:rPr>
          <w:rFonts w:ascii="Cambria" w:hAnsi="Cambria"/>
          <w:b/>
          <w:bCs/>
          <w:i/>
          <w:iCs/>
          <w:sz w:val="22"/>
          <w:szCs w:val="22"/>
        </w:rPr>
        <w:t>după</w:t>
      </w:r>
      <w:proofErr w:type="spellEnd"/>
      <w:r w:rsidR="003368C8" w:rsidRPr="00312923">
        <w:rPr>
          <w:rFonts w:ascii="Cambria" w:hAnsi="Cambria"/>
          <w:b/>
          <w:bCs/>
          <w:i/>
          <w:iCs/>
          <w:sz w:val="22"/>
          <w:szCs w:val="22"/>
        </w:rPr>
        <w:t xml:space="preserve"> </w:t>
      </w:r>
      <w:proofErr w:type="spellStart"/>
      <w:r w:rsidR="003368C8" w:rsidRPr="00312923">
        <w:rPr>
          <w:rFonts w:ascii="Cambria" w:hAnsi="Cambria"/>
          <w:b/>
          <w:bCs/>
          <w:i/>
          <w:iCs/>
          <w:sz w:val="22"/>
          <w:szCs w:val="22"/>
        </w:rPr>
        <w:t>perchezițiile</w:t>
      </w:r>
      <w:proofErr w:type="spellEnd"/>
      <w:r w:rsidR="003368C8" w:rsidRPr="00312923">
        <w:rPr>
          <w:rFonts w:ascii="Cambria" w:hAnsi="Cambria"/>
          <w:b/>
          <w:bCs/>
          <w:i/>
          <w:iCs/>
          <w:sz w:val="22"/>
          <w:szCs w:val="22"/>
        </w:rPr>
        <w:t xml:space="preserve"> la </w:t>
      </w:r>
      <w:proofErr w:type="spellStart"/>
      <w:r w:rsidR="003368C8" w:rsidRPr="00312923">
        <w:rPr>
          <w:rFonts w:ascii="Cambria" w:hAnsi="Cambria"/>
          <w:b/>
          <w:bCs/>
          <w:i/>
          <w:iCs/>
          <w:sz w:val="22"/>
          <w:szCs w:val="22"/>
        </w:rPr>
        <w:t>Tinmar</w:t>
      </w:r>
      <w:proofErr w:type="spellEnd"/>
      <w:r w:rsidR="003368C8" w:rsidRPr="00312923">
        <w:rPr>
          <w:rFonts w:ascii="Cambria" w:hAnsi="Cambria"/>
          <w:b/>
          <w:bCs/>
          <w:i/>
          <w:iCs/>
          <w:sz w:val="22"/>
          <w:szCs w:val="22"/>
        </w:rPr>
        <w:t xml:space="preserve">, </w:t>
      </w:r>
      <w:proofErr w:type="spellStart"/>
      <w:r w:rsidR="003368C8" w:rsidRPr="00312923">
        <w:rPr>
          <w:rFonts w:ascii="Cambria" w:hAnsi="Cambria"/>
          <w:b/>
          <w:bCs/>
          <w:i/>
          <w:iCs/>
          <w:sz w:val="22"/>
          <w:szCs w:val="22"/>
        </w:rPr>
        <w:t>iar</w:t>
      </w:r>
      <w:proofErr w:type="spellEnd"/>
      <w:r w:rsidR="003368C8" w:rsidRPr="00312923">
        <w:rPr>
          <w:rFonts w:ascii="Cambria" w:hAnsi="Cambria"/>
          <w:b/>
          <w:bCs/>
          <w:i/>
          <w:iCs/>
          <w:sz w:val="22"/>
          <w:szCs w:val="22"/>
        </w:rPr>
        <w:t xml:space="preserve"> DNA </w:t>
      </w:r>
      <w:proofErr w:type="spellStart"/>
      <w:r w:rsidR="003368C8" w:rsidRPr="00312923">
        <w:rPr>
          <w:rFonts w:ascii="Cambria" w:hAnsi="Cambria"/>
          <w:b/>
          <w:bCs/>
          <w:i/>
          <w:iCs/>
          <w:sz w:val="22"/>
          <w:szCs w:val="22"/>
        </w:rPr>
        <w:t>intră</w:t>
      </w:r>
      <w:proofErr w:type="spellEnd"/>
      <w:r w:rsidR="003368C8" w:rsidRPr="00312923">
        <w:rPr>
          <w:rFonts w:ascii="Cambria" w:hAnsi="Cambria"/>
          <w:b/>
          <w:bCs/>
          <w:i/>
          <w:iCs/>
          <w:sz w:val="22"/>
          <w:szCs w:val="22"/>
        </w:rPr>
        <w:t xml:space="preserve"> pe </w:t>
      </w:r>
      <w:r w:rsidR="00F56DC2" w:rsidRPr="00312923">
        <w:rPr>
          <w:rFonts w:ascii="Cambria" w:eastAsia="Cambria" w:hAnsi="Cambria" w:cs="Cambria"/>
          <w:b/>
          <w:bCs/>
          <w:i/>
          <w:iCs/>
          <w:sz w:val="22"/>
          <w:szCs w:val="22"/>
        </w:rPr>
        <w:t>f</w:t>
      </w:r>
      <w:r w:rsidR="003368C8" w:rsidRPr="00312923">
        <w:rPr>
          <w:rFonts w:ascii="Cambria" w:hAnsi="Cambria"/>
          <w:b/>
          <w:bCs/>
          <w:i/>
          <w:iCs/>
          <w:sz w:val="22"/>
          <w:szCs w:val="22"/>
        </w:rPr>
        <w:t xml:space="preserve">ir </w:t>
      </w:r>
      <w:proofErr w:type="spellStart"/>
      <w:r w:rsidR="003368C8" w:rsidRPr="00312923">
        <w:rPr>
          <w:rFonts w:ascii="Cambria" w:hAnsi="Cambria"/>
          <w:b/>
          <w:bCs/>
          <w:i/>
          <w:iCs/>
          <w:sz w:val="22"/>
          <w:szCs w:val="22"/>
        </w:rPr>
        <w:t>în</w:t>
      </w:r>
      <w:proofErr w:type="spellEnd"/>
      <w:r w:rsidR="003368C8" w:rsidRPr="00312923">
        <w:rPr>
          <w:rFonts w:ascii="Cambria" w:hAnsi="Cambria"/>
          <w:b/>
          <w:bCs/>
          <w:i/>
          <w:iCs/>
          <w:sz w:val="22"/>
          <w:szCs w:val="22"/>
        </w:rPr>
        <w:t xml:space="preserve"> </w:t>
      </w:r>
      <w:proofErr w:type="spellStart"/>
      <w:r w:rsidR="003368C8" w:rsidRPr="00312923">
        <w:rPr>
          <w:rFonts w:ascii="Cambria" w:hAnsi="Cambria"/>
          <w:b/>
          <w:bCs/>
          <w:i/>
          <w:iCs/>
          <w:sz w:val="22"/>
          <w:szCs w:val="22"/>
        </w:rPr>
        <w:t>scandalul</w:t>
      </w:r>
      <w:proofErr w:type="spellEnd"/>
      <w:r w:rsidR="003368C8" w:rsidRPr="00312923">
        <w:rPr>
          <w:rFonts w:ascii="Cambria" w:hAnsi="Cambria"/>
          <w:b/>
          <w:bCs/>
          <w:i/>
          <w:iCs/>
          <w:sz w:val="22"/>
          <w:szCs w:val="22"/>
        </w:rPr>
        <w:t xml:space="preserve"> ANRE vs. </w:t>
      </w:r>
      <w:proofErr w:type="spellStart"/>
      <w:r w:rsidR="003368C8" w:rsidRPr="00312923">
        <w:rPr>
          <w:rFonts w:ascii="Cambria" w:hAnsi="Cambria"/>
          <w:b/>
          <w:bCs/>
          <w:i/>
          <w:iCs/>
          <w:sz w:val="22"/>
          <w:szCs w:val="22"/>
        </w:rPr>
        <w:t>băieții</w:t>
      </w:r>
      <w:proofErr w:type="spellEnd"/>
      <w:r w:rsidR="003368C8" w:rsidRPr="00312923">
        <w:rPr>
          <w:rFonts w:ascii="Cambria" w:hAnsi="Cambria"/>
          <w:b/>
          <w:bCs/>
          <w:i/>
          <w:iCs/>
          <w:sz w:val="22"/>
          <w:szCs w:val="22"/>
        </w:rPr>
        <w:t xml:space="preserve"> </w:t>
      </w:r>
      <w:proofErr w:type="spellStart"/>
      <w:r w:rsidR="003368C8" w:rsidRPr="00312923">
        <w:rPr>
          <w:rFonts w:ascii="Cambria" w:hAnsi="Cambria"/>
          <w:b/>
          <w:bCs/>
          <w:i/>
          <w:iCs/>
          <w:sz w:val="22"/>
          <w:szCs w:val="22"/>
        </w:rPr>
        <w:t>deștepți</w:t>
      </w:r>
      <w:proofErr w:type="spellEnd"/>
      <w:r w:rsidR="003368C8" w:rsidRPr="00312923">
        <w:rPr>
          <w:rFonts w:ascii="Cambria" w:hAnsi="Cambria"/>
          <w:b/>
          <w:bCs/>
          <w:i/>
          <w:iCs/>
          <w:sz w:val="22"/>
          <w:szCs w:val="22"/>
        </w:rPr>
        <w:t xml:space="preserve"> din </w:t>
      </w:r>
      <w:proofErr w:type="spellStart"/>
      <w:r w:rsidR="003368C8" w:rsidRPr="00312923">
        <w:rPr>
          <w:rFonts w:ascii="Cambria" w:hAnsi="Cambria"/>
          <w:b/>
          <w:bCs/>
          <w:i/>
          <w:iCs/>
          <w:sz w:val="22"/>
          <w:szCs w:val="22"/>
        </w:rPr>
        <w:t>energie</w:t>
      </w:r>
      <w:proofErr w:type="spellEnd"/>
      <w:r w:rsidR="003368C8" w:rsidRPr="00312923">
        <w:rPr>
          <w:rFonts w:ascii="Cambria" w:hAnsi="Cambria"/>
          <w:i/>
          <w:iCs/>
          <w:sz w:val="22"/>
          <w:szCs w:val="22"/>
        </w:rPr>
        <w:t>…”,</w:t>
      </w:r>
      <w:r w:rsidR="003368C8" w:rsidRPr="00312923">
        <w:rPr>
          <w:rFonts w:ascii="Cambria" w:hAnsi="Cambria"/>
          <w:sz w:val="22"/>
          <w:szCs w:val="22"/>
        </w:rPr>
        <w:t xml:space="preserve"> </w:t>
      </w:r>
      <w:proofErr w:type="spellStart"/>
      <w:r w:rsidR="003368C8" w:rsidRPr="00312923">
        <w:rPr>
          <w:rFonts w:ascii="Cambria" w:hAnsi="Cambria"/>
          <w:sz w:val="22"/>
          <w:szCs w:val="22"/>
        </w:rPr>
        <w:t>societățile</w:t>
      </w:r>
      <w:proofErr w:type="spellEnd"/>
      <w:r w:rsidR="003368C8" w:rsidRPr="00312923">
        <w:rPr>
          <w:rFonts w:ascii="Cambria" w:hAnsi="Cambria"/>
          <w:sz w:val="22"/>
          <w:szCs w:val="22"/>
        </w:rPr>
        <w:t xml:space="preserve"> din </w:t>
      </w:r>
      <w:proofErr w:type="spellStart"/>
      <w:r w:rsidR="003368C8" w:rsidRPr="00312923">
        <w:rPr>
          <w:rFonts w:ascii="Cambria" w:hAnsi="Cambria"/>
          <w:sz w:val="22"/>
          <w:szCs w:val="22"/>
        </w:rPr>
        <w:t>grupul</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Tinmar</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formuleaza</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prezentul</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drept</w:t>
      </w:r>
      <w:proofErr w:type="spellEnd"/>
      <w:r w:rsidR="003368C8" w:rsidRPr="00312923">
        <w:rPr>
          <w:rFonts w:ascii="Cambria" w:hAnsi="Cambria"/>
          <w:sz w:val="22"/>
          <w:szCs w:val="22"/>
        </w:rPr>
        <w:t xml:space="preserve"> la replica:</w:t>
      </w:r>
    </w:p>
    <w:p w14:paraId="18F7CA08" w14:textId="7439013A" w:rsidR="00C914DA" w:rsidRPr="00312923" w:rsidRDefault="003368C8" w:rsidP="003368C8">
      <w:pPr>
        <w:jc w:val="both"/>
        <w:rPr>
          <w:rFonts w:ascii="Cambria" w:hAnsi="Cambria"/>
          <w:sz w:val="22"/>
          <w:szCs w:val="22"/>
        </w:rPr>
      </w:pPr>
      <w:proofErr w:type="spellStart"/>
      <w:r w:rsidRPr="00312923">
        <w:rPr>
          <w:rFonts w:ascii="Cambria" w:hAnsi="Cambria"/>
          <w:sz w:val="22"/>
          <w:szCs w:val="22"/>
        </w:rPr>
        <w:t>Articolul</w:t>
      </w:r>
      <w:proofErr w:type="spellEnd"/>
      <w:r w:rsidRPr="00312923">
        <w:rPr>
          <w:rFonts w:ascii="Cambria" w:hAnsi="Cambria"/>
          <w:sz w:val="22"/>
          <w:szCs w:val="22"/>
        </w:rPr>
        <w:t xml:space="preserve"> </w:t>
      </w:r>
      <w:proofErr w:type="spellStart"/>
      <w:r w:rsidR="00DD4E20">
        <w:rPr>
          <w:rFonts w:ascii="Cambria" w:hAnsi="Cambria"/>
          <w:sz w:val="22"/>
          <w:szCs w:val="22"/>
        </w:rPr>
        <w:t>menționează</w:t>
      </w:r>
      <w:proofErr w:type="spellEnd"/>
      <w:r w:rsidRPr="00312923">
        <w:rPr>
          <w:rFonts w:ascii="Cambria" w:hAnsi="Cambria"/>
          <w:sz w:val="22"/>
          <w:szCs w:val="22"/>
        </w:rPr>
        <w:t xml:space="preserve"> </w:t>
      </w:r>
      <w:proofErr w:type="spellStart"/>
      <w:r w:rsidRPr="00312923">
        <w:rPr>
          <w:rFonts w:ascii="Cambria" w:hAnsi="Cambria"/>
          <w:sz w:val="22"/>
          <w:szCs w:val="22"/>
        </w:rPr>
        <w:t>ı̂n</w:t>
      </w:r>
      <w:proofErr w:type="spellEnd"/>
      <w:r w:rsidRPr="00312923">
        <w:rPr>
          <w:rFonts w:ascii="Cambria" w:hAnsi="Cambria"/>
          <w:sz w:val="22"/>
          <w:szCs w:val="22"/>
        </w:rPr>
        <w:t xml:space="preserve"> mod arti</w:t>
      </w:r>
      <w:r w:rsidRPr="00312923">
        <w:rPr>
          <w:rFonts w:ascii="Cambria" w:eastAsia="Cambria" w:hAnsi="Cambria" w:cs="Cambria"/>
          <w:sz w:val="22"/>
          <w:szCs w:val="22"/>
        </w:rPr>
        <w:t>f</w:t>
      </w:r>
      <w:r w:rsidRPr="00312923">
        <w:rPr>
          <w:rFonts w:ascii="Cambria" w:hAnsi="Cambria"/>
          <w:sz w:val="22"/>
          <w:szCs w:val="22"/>
        </w:rPr>
        <w:t xml:space="preserve">icial </w:t>
      </w:r>
      <w:proofErr w:type="spellStart"/>
      <w:r w:rsidRPr="00312923">
        <w:rPr>
          <w:rFonts w:ascii="Cambria" w:hAnsi="Cambria"/>
          <w:sz w:val="22"/>
          <w:szCs w:val="22"/>
        </w:rPr>
        <w:t>societăți</w:t>
      </w:r>
      <w:proofErr w:type="spellEnd"/>
      <w:r w:rsidRPr="00312923">
        <w:rPr>
          <w:rFonts w:ascii="Cambria" w:hAnsi="Cambria"/>
          <w:sz w:val="22"/>
          <w:szCs w:val="22"/>
        </w:rPr>
        <w:t xml:space="preserve"> din </w:t>
      </w:r>
      <w:proofErr w:type="spellStart"/>
      <w:r w:rsidRPr="00312923">
        <w:rPr>
          <w:rFonts w:ascii="Cambria" w:hAnsi="Cambria"/>
          <w:sz w:val="22"/>
          <w:szCs w:val="22"/>
        </w:rPr>
        <w:t>grupul</w:t>
      </w:r>
      <w:proofErr w:type="spellEnd"/>
      <w:r w:rsidRPr="00312923">
        <w:rPr>
          <w:rFonts w:ascii="Cambria" w:hAnsi="Cambria"/>
          <w:sz w:val="22"/>
          <w:szCs w:val="22"/>
        </w:rPr>
        <w:t xml:space="preserve"> </w:t>
      </w:r>
      <w:proofErr w:type="spellStart"/>
      <w:r w:rsidRPr="00312923">
        <w:rPr>
          <w:rFonts w:ascii="Cambria" w:hAnsi="Cambria"/>
          <w:sz w:val="22"/>
          <w:szCs w:val="22"/>
        </w:rPr>
        <w:t>Tinmar</w:t>
      </w:r>
      <w:proofErr w:type="spellEnd"/>
      <w:r w:rsidRPr="00312923">
        <w:rPr>
          <w:rFonts w:ascii="Cambria" w:hAnsi="Cambria"/>
          <w:sz w:val="22"/>
          <w:szCs w:val="22"/>
        </w:rPr>
        <w:t xml:space="preserve"> cu </w:t>
      </w:r>
      <w:proofErr w:type="spellStart"/>
      <w:r w:rsidRPr="00312923">
        <w:rPr>
          <w:rFonts w:ascii="Cambria" w:hAnsi="Cambria"/>
          <w:sz w:val="22"/>
          <w:szCs w:val="22"/>
        </w:rPr>
        <w:t>entități</w:t>
      </w:r>
      <w:proofErr w:type="spellEnd"/>
      <w:r w:rsidRPr="00312923">
        <w:rPr>
          <w:rFonts w:ascii="Cambria" w:hAnsi="Cambria"/>
          <w:sz w:val="22"/>
          <w:szCs w:val="22"/>
        </w:rPr>
        <w:t xml:space="preserve"> din </w:t>
      </w:r>
      <w:proofErr w:type="spellStart"/>
      <w:r w:rsidRPr="00312923">
        <w:rPr>
          <w:rFonts w:ascii="Cambria" w:hAnsi="Cambria"/>
          <w:sz w:val="22"/>
          <w:szCs w:val="22"/>
        </w:rPr>
        <w:t>grupul</w:t>
      </w:r>
      <w:proofErr w:type="spellEnd"/>
      <w:r w:rsidRPr="00312923">
        <w:rPr>
          <w:rFonts w:ascii="Cambria" w:hAnsi="Cambria"/>
          <w:sz w:val="22"/>
          <w:szCs w:val="22"/>
        </w:rPr>
        <w:t xml:space="preserve"> Nova, </w:t>
      </w:r>
      <w:proofErr w:type="spellStart"/>
      <w:r w:rsidRPr="00312923">
        <w:rPr>
          <w:rFonts w:ascii="Cambria" w:hAnsi="Cambria"/>
          <w:sz w:val="22"/>
          <w:szCs w:val="22"/>
        </w:rPr>
        <w:t>proceduri</w:t>
      </w:r>
      <w:proofErr w:type="spellEnd"/>
      <w:r w:rsidRPr="00312923">
        <w:rPr>
          <w:rFonts w:ascii="Cambria" w:hAnsi="Cambria"/>
          <w:sz w:val="22"/>
          <w:szCs w:val="22"/>
        </w:rPr>
        <w:t xml:space="preserve"> administrative cu </w:t>
      </w:r>
      <w:proofErr w:type="spellStart"/>
      <w:r w:rsidRPr="00312923">
        <w:rPr>
          <w:rFonts w:ascii="Cambria" w:hAnsi="Cambria"/>
          <w:sz w:val="22"/>
          <w:szCs w:val="22"/>
        </w:rPr>
        <w:t>proceduri</w:t>
      </w:r>
      <w:proofErr w:type="spellEnd"/>
      <w:r w:rsidRPr="00312923">
        <w:rPr>
          <w:rFonts w:ascii="Cambria" w:hAnsi="Cambria"/>
          <w:sz w:val="22"/>
          <w:szCs w:val="22"/>
        </w:rPr>
        <w:t xml:space="preserve"> </w:t>
      </w:r>
      <w:proofErr w:type="spellStart"/>
      <w:r w:rsidRPr="00312923">
        <w:rPr>
          <w:rFonts w:ascii="Cambria" w:hAnsi="Cambria"/>
          <w:sz w:val="22"/>
          <w:szCs w:val="22"/>
        </w:rPr>
        <w:t>penale</w:t>
      </w:r>
      <w:proofErr w:type="spellEnd"/>
      <w:r w:rsidRPr="00312923">
        <w:rPr>
          <w:rFonts w:ascii="Cambria" w:hAnsi="Cambria"/>
          <w:sz w:val="22"/>
          <w:szCs w:val="22"/>
        </w:rPr>
        <w:t xml:space="preserve">, o </w:t>
      </w:r>
      <w:proofErr w:type="spellStart"/>
      <w:r w:rsidRPr="00312923">
        <w:rPr>
          <w:rFonts w:ascii="Cambria" w:hAnsi="Cambria"/>
          <w:sz w:val="22"/>
          <w:szCs w:val="22"/>
        </w:rPr>
        <w:t>amenda</w:t>
      </w:r>
      <w:proofErr w:type="spellEnd"/>
      <w:r w:rsidRPr="00312923">
        <w:rPr>
          <w:rFonts w:ascii="Cambria" w:hAnsi="Cambria"/>
          <w:sz w:val="22"/>
          <w:szCs w:val="22"/>
        </w:rPr>
        <w:t>̆ ANRE</w:t>
      </w:r>
      <w:r w:rsidR="00333163" w:rsidRPr="00312923">
        <w:rPr>
          <w:rFonts w:ascii="Cambria" w:hAnsi="Cambria"/>
          <w:sz w:val="22"/>
          <w:szCs w:val="22"/>
        </w:rPr>
        <w:t xml:space="preserve"> </w:t>
      </w:r>
      <w:proofErr w:type="spellStart"/>
      <w:r w:rsidR="00333163" w:rsidRPr="00312923">
        <w:rPr>
          <w:rFonts w:ascii="Cambria" w:hAnsi="Cambria"/>
          <w:sz w:val="22"/>
          <w:szCs w:val="22"/>
        </w:rPr>
        <w:t>aplicat</w:t>
      </w:r>
      <w:proofErr w:type="spellEnd"/>
      <w:r w:rsidR="00D71868" w:rsidRPr="00312923">
        <w:rPr>
          <w:rFonts w:ascii="Cambria" w:hAnsi="Cambria" w:cstheme="minorHAnsi"/>
          <w:sz w:val="22"/>
          <w:szCs w:val="22"/>
          <w:lang w:val="ro-RO"/>
        </w:rPr>
        <w:t>ă</w:t>
      </w:r>
      <w:r w:rsidR="00333163" w:rsidRPr="00312923">
        <w:rPr>
          <w:rFonts w:ascii="Cambria" w:hAnsi="Cambria"/>
          <w:sz w:val="22"/>
          <w:szCs w:val="22"/>
        </w:rPr>
        <w:t xml:space="preserve"> </w:t>
      </w:r>
      <w:proofErr w:type="spellStart"/>
      <w:r w:rsidR="00553BD9" w:rsidRPr="00312923">
        <w:rPr>
          <w:rFonts w:ascii="Cambria" w:hAnsi="Cambria"/>
          <w:sz w:val="22"/>
          <w:szCs w:val="22"/>
        </w:rPr>
        <w:t>ı̂</w:t>
      </w:r>
      <w:r w:rsidR="00333163" w:rsidRPr="00312923">
        <w:rPr>
          <w:rFonts w:ascii="Cambria" w:hAnsi="Cambria"/>
          <w:sz w:val="22"/>
          <w:szCs w:val="22"/>
        </w:rPr>
        <w:t>n</w:t>
      </w:r>
      <w:proofErr w:type="spellEnd"/>
      <w:r w:rsidR="00333163" w:rsidRPr="00312923">
        <w:rPr>
          <w:rFonts w:ascii="Cambria" w:hAnsi="Cambria"/>
          <w:sz w:val="22"/>
          <w:szCs w:val="22"/>
        </w:rPr>
        <w:t xml:space="preserve"> </w:t>
      </w:r>
      <w:proofErr w:type="spellStart"/>
      <w:r w:rsidR="00333163" w:rsidRPr="00312923">
        <w:rPr>
          <w:rFonts w:ascii="Cambria" w:hAnsi="Cambria"/>
          <w:sz w:val="22"/>
          <w:szCs w:val="22"/>
        </w:rPr>
        <w:t>ianuarie</w:t>
      </w:r>
      <w:proofErr w:type="spellEnd"/>
      <w:r w:rsidR="00333163" w:rsidRPr="00312923">
        <w:rPr>
          <w:rFonts w:ascii="Cambria" w:hAnsi="Cambria"/>
          <w:sz w:val="22"/>
          <w:szCs w:val="22"/>
        </w:rPr>
        <w:t xml:space="preserve"> 2024, </w:t>
      </w:r>
      <w:proofErr w:type="spellStart"/>
      <w:r w:rsidR="00553BD9" w:rsidRPr="00312923">
        <w:rPr>
          <w:rFonts w:ascii="Cambria" w:hAnsi="Cambria"/>
          <w:sz w:val="22"/>
          <w:szCs w:val="22"/>
        </w:rPr>
        <w:t>ı̂</w:t>
      </w:r>
      <w:r w:rsidR="00333163" w:rsidRPr="00312923">
        <w:rPr>
          <w:rFonts w:ascii="Cambria" w:hAnsi="Cambria"/>
          <w:sz w:val="22"/>
          <w:szCs w:val="22"/>
        </w:rPr>
        <w:t>n</w:t>
      </w:r>
      <w:proofErr w:type="spellEnd"/>
      <w:r w:rsidR="00333163" w:rsidRPr="00312923">
        <w:rPr>
          <w:rFonts w:ascii="Cambria" w:hAnsi="Cambria"/>
          <w:sz w:val="22"/>
          <w:szCs w:val="22"/>
        </w:rPr>
        <w:t xml:space="preserve"> </w:t>
      </w:r>
      <w:proofErr w:type="spellStart"/>
      <w:r w:rsidR="00333163" w:rsidRPr="00312923">
        <w:rPr>
          <w:rFonts w:ascii="Cambria" w:hAnsi="Cambria"/>
          <w:sz w:val="22"/>
          <w:szCs w:val="22"/>
        </w:rPr>
        <w:t>suma</w:t>
      </w:r>
      <w:proofErr w:type="spellEnd"/>
      <w:r w:rsidR="00333163" w:rsidRPr="00312923">
        <w:rPr>
          <w:rFonts w:ascii="Cambria" w:hAnsi="Cambria"/>
          <w:sz w:val="22"/>
          <w:szCs w:val="22"/>
        </w:rPr>
        <w:t xml:space="preserve"> de 74.000.000 </w:t>
      </w:r>
      <w:proofErr w:type="spellStart"/>
      <w:r w:rsidR="00333163" w:rsidRPr="00312923">
        <w:rPr>
          <w:rFonts w:ascii="Cambria" w:hAnsi="Cambria"/>
          <w:sz w:val="22"/>
          <w:szCs w:val="22"/>
        </w:rPr>
        <w:t>eur</w:t>
      </w:r>
      <w:proofErr w:type="spellEnd"/>
      <w:r w:rsidRPr="00312923">
        <w:rPr>
          <w:rFonts w:ascii="Cambria" w:hAnsi="Cambria"/>
          <w:sz w:val="22"/>
          <w:szCs w:val="22"/>
        </w:rPr>
        <w:t xml:space="preserve"> cu </w:t>
      </w:r>
      <w:proofErr w:type="spellStart"/>
      <w:r w:rsidRPr="00312923">
        <w:rPr>
          <w:rFonts w:ascii="Cambria" w:hAnsi="Cambria"/>
          <w:sz w:val="22"/>
          <w:szCs w:val="22"/>
        </w:rPr>
        <w:t>percheziții</w:t>
      </w:r>
      <w:proofErr w:type="spellEnd"/>
      <w:r w:rsidRPr="00312923">
        <w:rPr>
          <w:rFonts w:ascii="Cambria" w:hAnsi="Cambria"/>
          <w:sz w:val="22"/>
          <w:szCs w:val="22"/>
        </w:rPr>
        <w:t xml:space="preserve"> ale </w:t>
      </w:r>
      <w:proofErr w:type="spellStart"/>
      <w:r w:rsidRPr="00312923">
        <w:rPr>
          <w:rFonts w:ascii="Cambria" w:hAnsi="Cambria"/>
          <w:sz w:val="22"/>
          <w:szCs w:val="22"/>
        </w:rPr>
        <w:t>Ministerului</w:t>
      </w:r>
      <w:proofErr w:type="spellEnd"/>
      <w:r w:rsidRPr="00312923">
        <w:rPr>
          <w:rFonts w:ascii="Cambria" w:hAnsi="Cambria"/>
          <w:sz w:val="22"/>
          <w:szCs w:val="22"/>
        </w:rPr>
        <w:t xml:space="preserve"> Public, precum </w:t>
      </w:r>
      <w:proofErr w:type="spellStart"/>
      <w:r w:rsidRPr="00312923">
        <w:rPr>
          <w:rFonts w:ascii="Cambria" w:hAnsi="Cambria"/>
          <w:sz w:val="22"/>
          <w:szCs w:val="22"/>
        </w:rPr>
        <w:t>și</w:t>
      </w:r>
      <w:proofErr w:type="spellEnd"/>
      <w:r w:rsidRPr="00312923">
        <w:rPr>
          <w:rFonts w:ascii="Cambria" w:hAnsi="Cambria"/>
          <w:sz w:val="22"/>
          <w:szCs w:val="22"/>
        </w:rPr>
        <w:t xml:space="preserve"> un scandal intern de la </w:t>
      </w:r>
      <w:proofErr w:type="spellStart"/>
      <w:r w:rsidRPr="00312923">
        <w:rPr>
          <w:rFonts w:ascii="Cambria" w:hAnsi="Cambria"/>
          <w:sz w:val="22"/>
          <w:szCs w:val="22"/>
        </w:rPr>
        <w:t>nivelul</w:t>
      </w:r>
      <w:proofErr w:type="spellEnd"/>
      <w:r w:rsidRPr="00312923">
        <w:rPr>
          <w:rFonts w:ascii="Cambria" w:hAnsi="Cambria"/>
          <w:sz w:val="22"/>
          <w:szCs w:val="22"/>
        </w:rPr>
        <w:t xml:space="preserve"> ANRE, </w:t>
      </w:r>
      <w:proofErr w:type="spellStart"/>
      <w:r w:rsidRPr="00312923">
        <w:rPr>
          <w:rFonts w:ascii="Cambria" w:hAnsi="Cambria"/>
          <w:sz w:val="22"/>
          <w:szCs w:val="22"/>
        </w:rPr>
        <w:t>deși</w:t>
      </w:r>
      <w:proofErr w:type="spellEnd"/>
      <w:r w:rsidRPr="00312923">
        <w:rPr>
          <w:rFonts w:ascii="Cambria" w:hAnsi="Cambria"/>
          <w:sz w:val="22"/>
          <w:szCs w:val="22"/>
        </w:rPr>
        <w:t xml:space="preserve"> </w:t>
      </w:r>
      <w:proofErr w:type="spellStart"/>
      <w:r w:rsidRPr="00312923">
        <w:rPr>
          <w:rFonts w:ascii="Cambria" w:hAnsi="Cambria"/>
          <w:sz w:val="22"/>
          <w:szCs w:val="22"/>
        </w:rPr>
        <w:t>ı̂ntre</w:t>
      </w:r>
      <w:proofErr w:type="spellEnd"/>
      <w:r w:rsidRPr="00312923">
        <w:rPr>
          <w:rFonts w:ascii="Cambria" w:hAnsi="Cambria"/>
          <w:sz w:val="22"/>
          <w:szCs w:val="22"/>
        </w:rPr>
        <w:t xml:space="preserve"> </w:t>
      </w:r>
      <w:proofErr w:type="spellStart"/>
      <w:r w:rsidRPr="00312923">
        <w:rPr>
          <w:rFonts w:ascii="Cambria" w:hAnsi="Cambria"/>
          <w:sz w:val="22"/>
          <w:szCs w:val="22"/>
        </w:rPr>
        <w:t>aceste</w:t>
      </w:r>
      <w:proofErr w:type="spellEnd"/>
      <w:r w:rsidRPr="00312923">
        <w:rPr>
          <w:rFonts w:ascii="Cambria" w:hAnsi="Cambria"/>
          <w:sz w:val="22"/>
          <w:szCs w:val="22"/>
        </w:rPr>
        <w:t xml:space="preserve"> </w:t>
      </w:r>
      <w:proofErr w:type="spellStart"/>
      <w:r w:rsidRPr="00312923">
        <w:rPr>
          <w:rFonts w:ascii="Cambria" w:hAnsi="Cambria"/>
          <w:sz w:val="22"/>
          <w:szCs w:val="22"/>
        </w:rPr>
        <w:t>elemente</w:t>
      </w:r>
      <w:proofErr w:type="spellEnd"/>
      <w:r w:rsidRPr="00312923">
        <w:rPr>
          <w:rFonts w:ascii="Cambria" w:hAnsi="Cambria"/>
          <w:sz w:val="22"/>
          <w:szCs w:val="22"/>
        </w:rPr>
        <w:t xml:space="preserve"> nu </w:t>
      </w:r>
      <w:proofErr w:type="spellStart"/>
      <w:r w:rsidRPr="00312923">
        <w:rPr>
          <w:rFonts w:ascii="Cambria" w:hAnsi="Cambria"/>
          <w:sz w:val="22"/>
          <w:szCs w:val="22"/>
        </w:rPr>
        <w:t>exista</w:t>
      </w:r>
      <w:proofErr w:type="spellEnd"/>
      <w:r w:rsidRPr="00312923">
        <w:rPr>
          <w:rFonts w:ascii="Cambria" w:hAnsi="Cambria"/>
          <w:sz w:val="22"/>
          <w:szCs w:val="22"/>
        </w:rPr>
        <w:t xml:space="preserve">̆ </w:t>
      </w:r>
      <w:proofErr w:type="spellStart"/>
      <w:r w:rsidRPr="00312923">
        <w:rPr>
          <w:rFonts w:ascii="Cambria" w:hAnsi="Cambria"/>
          <w:sz w:val="22"/>
          <w:szCs w:val="22"/>
        </w:rPr>
        <w:t>nicio</w:t>
      </w:r>
      <w:proofErr w:type="spellEnd"/>
      <w:r w:rsidRPr="00312923">
        <w:rPr>
          <w:rFonts w:ascii="Cambria" w:hAnsi="Cambria"/>
          <w:sz w:val="22"/>
          <w:szCs w:val="22"/>
        </w:rPr>
        <w:t xml:space="preserve"> </w:t>
      </w:r>
      <w:proofErr w:type="spellStart"/>
      <w:r w:rsidRPr="00312923">
        <w:rPr>
          <w:rFonts w:ascii="Cambria" w:hAnsi="Cambria"/>
          <w:sz w:val="22"/>
          <w:szCs w:val="22"/>
        </w:rPr>
        <w:t>legătura</w:t>
      </w:r>
      <w:proofErr w:type="spellEnd"/>
      <w:r w:rsidRPr="00312923">
        <w:rPr>
          <w:rFonts w:ascii="Cambria" w:hAnsi="Cambria"/>
          <w:sz w:val="22"/>
          <w:szCs w:val="22"/>
        </w:rPr>
        <w:t xml:space="preserve">̆. </w:t>
      </w:r>
      <w:proofErr w:type="spellStart"/>
      <w:r w:rsidR="00C914DA" w:rsidRPr="00312923">
        <w:rPr>
          <w:rFonts w:ascii="Cambria" w:hAnsi="Cambria"/>
          <w:sz w:val="22"/>
          <w:szCs w:val="22"/>
        </w:rPr>
        <w:t>În</w:t>
      </w:r>
      <w:proofErr w:type="spellEnd"/>
      <w:r w:rsidR="00C914DA" w:rsidRPr="00312923">
        <w:rPr>
          <w:rFonts w:ascii="Cambria" w:hAnsi="Cambria"/>
          <w:sz w:val="22"/>
          <w:szCs w:val="22"/>
        </w:rPr>
        <w:t xml:space="preserve"> </w:t>
      </w:r>
      <w:proofErr w:type="spellStart"/>
      <w:r w:rsidR="00C914DA" w:rsidRPr="00312923">
        <w:rPr>
          <w:rFonts w:ascii="Cambria" w:hAnsi="Cambria"/>
          <w:sz w:val="22"/>
          <w:szCs w:val="22"/>
        </w:rPr>
        <w:t>articol</w:t>
      </w:r>
      <w:proofErr w:type="spellEnd"/>
      <w:r w:rsidR="00C914DA" w:rsidRPr="00312923">
        <w:rPr>
          <w:rFonts w:ascii="Cambria" w:hAnsi="Cambria"/>
          <w:sz w:val="22"/>
          <w:szCs w:val="22"/>
        </w:rPr>
        <w:t xml:space="preserve"> se </w:t>
      </w:r>
      <w:proofErr w:type="spellStart"/>
      <w:r w:rsidR="00C914DA" w:rsidRPr="00312923">
        <w:rPr>
          <w:rFonts w:ascii="Cambria" w:hAnsi="Cambria"/>
          <w:sz w:val="22"/>
          <w:szCs w:val="22"/>
        </w:rPr>
        <w:t>reiau</w:t>
      </w:r>
      <w:proofErr w:type="spellEnd"/>
      <w:r w:rsidR="00C914DA" w:rsidRPr="00312923">
        <w:rPr>
          <w:rFonts w:ascii="Cambria" w:hAnsi="Cambria"/>
          <w:sz w:val="22"/>
          <w:szCs w:val="22"/>
        </w:rPr>
        <w:t xml:space="preserve"> </w:t>
      </w:r>
      <w:proofErr w:type="spellStart"/>
      <w:r w:rsidR="00C914DA" w:rsidRPr="00312923">
        <w:rPr>
          <w:rFonts w:ascii="Cambria" w:hAnsi="Cambria"/>
          <w:sz w:val="22"/>
          <w:szCs w:val="22"/>
        </w:rPr>
        <w:t>informații</w:t>
      </w:r>
      <w:proofErr w:type="spellEnd"/>
      <w:r w:rsidR="00C914DA" w:rsidRPr="00312923">
        <w:rPr>
          <w:rFonts w:ascii="Cambria" w:hAnsi="Cambria"/>
          <w:sz w:val="22"/>
          <w:szCs w:val="22"/>
        </w:rPr>
        <w:t xml:space="preserve"> care au </w:t>
      </w:r>
      <w:proofErr w:type="spellStart"/>
      <w:r w:rsidR="00C914DA" w:rsidRPr="00312923">
        <w:rPr>
          <w:rFonts w:ascii="Cambria" w:hAnsi="Cambria"/>
          <w:sz w:val="22"/>
          <w:szCs w:val="22"/>
        </w:rPr>
        <w:t>făcut</w:t>
      </w:r>
      <w:proofErr w:type="spellEnd"/>
      <w:r w:rsidR="00C914DA" w:rsidRPr="00312923">
        <w:rPr>
          <w:rFonts w:ascii="Cambria" w:hAnsi="Cambria"/>
          <w:sz w:val="22"/>
          <w:szCs w:val="22"/>
        </w:rPr>
        <w:t xml:space="preserve"> </w:t>
      </w:r>
      <w:proofErr w:type="spellStart"/>
      <w:r w:rsidR="00C914DA" w:rsidRPr="00312923">
        <w:rPr>
          <w:rFonts w:ascii="Cambria" w:hAnsi="Cambria"/>
          <w:sz w:val="22"/>
          <w:szCs w:val="22"/>
        </w:rPr>
        <w:t>deja</w:t>
      </w:r>
      <w:proofErr w:type="spellEnd"/>
      <w:r w:rsidR="00C914DA" w:rsidRPr="00312923">
        <w:rPr>
          <w:rFonts w:ascii="Cambria" w:hAnsi="Cambria"/>
          <w:sz w:val="22"/>
          <w:szCs w:val="22"/>
        </w:rPr>
        <w:t xml:space="preserve"> </w:t>
      </w:r>
      <w:proofErr w:type="spellStart"/>
      <w:r w:rsidR="00C914DA" w:rsidRPr="00312923">
        <w:rPr>
          <w:rFonts w:ascii="Cambria" w:hAnsi="Cambria"/>
          <w:sz w:val="22"/>
          <w:szCs w:val="22"/>
        </w:rPr>
        <w:t>obiectul</w:t>
      </w:r>
      <w:proofErr w:type="spellEnd"/>
      <w:r w:rsidR="00C914DA" w:rsidRPr="00312923">
        <w:rPr>
          <w:rFonts w:ascii="Cambria" w:hAnsi="Cambria"/>
          <w:sz w:val="22"/>
          <w:szCs w:val="22"/>
        </w:rPr>
        <w:t xml:space="preserve"> </w:t>
      </w:r>
      <w:proofErr w:type="spellStart"/>
      <w:r w:rsidR="00C914DA" w:rsidRPr="00312923">
        <w:rPr>
          <w:rFonts w:ascii="Cambria" w:hAnsi="Cambria"/>
          <w:sz w:val="22"/>
          <w:szCs w:val="22"/>
        </w:rPr>
        <w:t>unor</w:t>
      </w:r>
      <w:proofErr w:type="spellEnd"/>
      <w:r w:rsidR="00C914DA" w:rsidRPr="00312923">
        <w:rPr>
          <w:rFonts w:ascii="Cambria" w:hAnsi="Cambria"/>
          <w:sz w:val="22"/>
          <w:szCs w:val="22"/>
        </w:rPr>
        <w:t xml:space="preserve"> </w:t>
      </w:r>
      <w:proofErr w:type="spellStart"/>
      <w:r w:rsidR="00C914DA" w:rsidRPr="00312923">
        <w:rPr>
          <w:rFonts w:ascii="Cambria" w:hAnsi="Cambria"/>
          <w:sz w:val="22"/>
          <w:szCs w:val="22"/>
        </w:rPr>
        <w:t>articole</w:t>
      </w:r>
      <w:proofErr w:type="spellEnd"/>
      <w:r w:rsidR="00C914DA" w:rsidRPr="00312923">
        <w:rPr>
          <w:rFonts w:ascii="Cambria" w:hAnsi="Cambria"/>
          <w:sz w:val="22"/>
          <w:szCs w:val="22"/>
        </w:rPr>
        <w:t xml:space="preserve"> de </w:t>
      </w:r>
      <w:proofErr w:type="spellStart"/>
      <w:r w:rsidR="00C914DA" w:rsidRPr="00312923">
        <w:rPr>
          <w:rFonts w:ascii="Cambria" w:hAnsi="Cambria"/>
          <w:sz w:val="22"/>
          <w:szCs w:val="22"/>
        </w:rPr>
        <w:t>presă</w:t>
      </w:r>
      <w:proofErr w:type="spellEnd"/>
      <w:r w:rsidR="00C914DA" w:rsidRPr="00312923">
        <w:rPr>
          <w:rFonts w:ascii="Cambria" w:hAnsi="Cambria"/>
          <w:sz w:val="22"/>
          <w:szCs w:val="22"/>
        </w:rPr>
        <w:t xml:space="preserve"> </w:t>
      </w:r>
      <w:proofErr w:type="spellStart"/>
      <w:r w:rsidR="00C914DA" w:rsidRPr="00312923">
        <w:rPr>
          <w:rFonts w:ascii="Cambria" w:hAnsi="Cambria"/>
          <w:sz w:val="22"/>
          <w:szCs w:val="22"/>
        </w:rPr>
        <w:t>și</w:t>
      </w:r>
      <w:proofErr w:type="spellEnd"/>
      <w:r w:rsidR="00C914DA" w:rsidRPr="00312923">
        <w:rPr>
          <w:rFonts w:ascii="Cambria" w:hAnsi="Cambria"/>
          <w:sz w:val="22"/>
          <w:szCs w:val="22"/>
        </w:rPr>
        <w:t xml:space="preserve"> </w:t>
      </w:r>
      <w:proofErr w:type="spellStart"/>
      <w:r w:rsidR="00C914DA" w:rsidRPr="00312923">
        <w:rPr>
          <w:rFonts w:ascii="Cambria" w:hAnsi="Cambria"/>
          <w:sz w:val="22"/>
          <w:szCs w:val="22"/>
        </w:rPr>
        <w:t>pentru</w:t>
      </w:r>
      <w:proofErr w:type="spellEnd"/>
      <w:r w:rsidR="00C914DA" w:rsidRPr="00312923">
        <w:rPr>
          <w:rFonts w:ascii="Cambria" w:hAnsi="Cambria"/>
          <w:sz w:val="22"/>
          <w:szCs w:val="22"/>
        </w:rPr>
        <w:t xml:space="preserve"> care </w:t>
      </w:r>
      <w:proofErr w:type="spellStart"/>
      <w:r w:rsidR="00C914DA" w:rsidRPr="00312923">
        <w:rPr>
          <w:rFonts w:ascii="Cambria" w:hAnsi="Cambria"/>
          <w:sz w:val="22"/>
          <w:szCs w:val="22"/>
        </w:rPr>
        <w:t>societățile</w:t>
      </w:r>
      <w:proofErr w:type="spellEnd"/>
      <w:r w:rsidR="00C914DA" w:rsidRPr="00312923">
        <w:rPr>
          <w:rFonts w:ascii="Cambria" w:hAnsi="Cambria"/>
          <w:sz w:val="22"/>
          <w:szCs w:val="22"/>
        </w:rPr>
        <w:t xml:space="preserve"> din </w:t>
      </w:r>
      <w:proofErr w:type="spellStart"/>
      <w:r w:rsidR="00C914DA" w:rsidRPr="00312923">
        <w:rPr>
          <w:rFonts w:ascii="Cambria" w:hAnsi="Cambria"/>
          <w:sz w:val="22"/>
          <w:szCs w:val="22"/>
        </w:rPr>
        <w:t>grupul</w:t>
      </w:r>
      <w:proofErr w:type="spellEnd"/>
      <w:r w:rsidR="00C914DA" w:rsidRPr="00312923">
        <w:rPr>
          <w:rFonts w:ascii="Cambria" w:hAnsi="Cambria"/>
          <w:sz w:val="22"/>
          <w:szCs w:val="22"/>
        </w:rPr>
        <w:t xml:space="preserve"> </w:t>
      </w:r>
      <w:proofErr w:type="spellStart"/>
      <w:r w:rsidR="00C914DA" w:rsidRPr="00312923">
        <w:rPr>
          <w:rFonts w:ascii="Cambria" w:hAnsi="Cambria"/>
          <w:sz w:val="22"/>
          <w:szCs w:val="22"/>
        </w:rPr>
        <w:t>Tinmar</w:t>
      </w:r>
      <w:proofErr w:type="spellEnd"/>
      <w:r w:rsidR="00C914DA" w:rsidRPr="00312923">
        <w:rPr>
          <w:rFonts w:ascii="Cambria" w:hAnsi="Cambria"/>
          <w:sz w:val="22"/>
          <w:szCs w:val="22"/>
        </w:rPr>
        <w:t xml:space="preserve"> au </w:t>
      </w:r>
      <w:proofErr w:type="spellStart"/>
      <w:r w:rsidR="00C914DA" w:rsidRPr="00312923">
        <w:rPr>
          <w:rFonts w:ascii="Cambria" w:hAnsi="Cambria"/>
          <w:sz w:val="22"/>
          <w:szCs w:val="22"/>
        </w:rPr>
        <w:t>transmis</w:t>
      </w:r>
      <w:proofErr w:type="spellEnd"/>
      <w:r w:rsidR="00C914DA" w:rsidRPr="00312923">
        <w:rPr>
          <w:rFonts w:ascii="Cambria" w:hAnsi="Cambria"/>
          <w:sz w:val="22"/>
          <w:szCs w:val="22"/>
        </w:rPr>
        <w:t xml:space="preserve"> un </w:t>
      </w:r>
      <w:proofErr w:type="spellStart"/>
      <w:r w:rsidR="00C914DA" w:rsidRPr="00312923">
        <w:rPr>
          <w:rFonts w:ascii="Cambria" w:hAnsi="Cambria"/>
          <w:sz w:val="22"/>
          <w:szCs w:val="22"/>
        </w:rPr>
        <w:t>drept</w:t>
      </w:r>
      <w:proofErr w:type="spellEnd"/>
      <w:r w:rsidR="00C914DA" w:rsidRPr="00312923">
        <w:rPr>
          <w:rFonts w:ascii="Cambria" w:hAnsi="Cambria"/>
          <w:sz w:val="22"/>
          <w:szCs w:val="22"/>
        </w:rPr>
        <w:t xml:space="preserve"> la </w:t>
      </w:r>
      <w:proofErr w:type="spellStart"/>
      <w:r w:rsidR="00C914DA" w:rsidRPr="00312923">
        <w:rPr>
          <w:rFonts w:ascii="Cambria" w:hAnsi="Cambria"/>
          <w:sz w:val="22"/>
          <w:szCs w:val="22"/>
        </w:rPr>
        <w:t>replică</w:t>
      </w:r>
      <w:proofErr w:type="spellEnd"/>
      <w:r w:rsidR="00C914DA" w:rsidRPr="00312923">
        <w:rPr>
          <w:rFonts w:ascii="Cambria" w:hAnsi="Cambria"/>
          <w:sz w:val="22"/>
          <w:szCs w:val="22"/>
        </w:rPr>
        <w:t xml:space="preserve">, </w:t>
      </w:r>
      <w:proofErr w:type="spellStart"/>
      <w:r w:rsidR="00C914DA" w:rsidRPr="00312923">
        <w:rPr>
          <w:rFonts w:ascii="Cambria" w:hAnsi="Cambria"/>
          <w:sz w:val="22"/>
          <w:szCs w:val="22"/>
        </w:rPr>
        <w:t>comunicate</w:t>
      </w:r>
      <w:proofErr w:type="spellEnd"/>
      <w:r w:rsidR="00C914DA" w:rsidRPr="00312923">
        <w:rPr>
          <w:rFonts w:ascii="Cambria" w:hAnsi="Cambria"/>
          <w:sz w:val="22"/>
          <w:szCs w:val="22"/>
        </w:rPr>
        <w:t xml:space="preserve"> </w:t>
      </w:r>
      <w:proofErr w:type="spellStart"/>
      <w:r w:rsidR="00C914DA" w:rsidRPr="00312923">
        <w:rPr>
          <w:rFonts w:ascii="Cambria" w:hAnsi="Cambria"/>
          <w:sz w:val="22"/>
          <w:szCs w:val="22"/>
        </w:rPr>
        <w:t>publice</w:t>
      </w:r>
      <w:proofErr w:type="spellEnd"/>
      <w:r w:rsidR="00C914DA" w:rsidRPr="00312923">
        <w:rPr>
          <w:rFonts w:ascii="Cambria" w:hAnsi="Cambria"/>
          <w:sz w:val="22"/>
          <w:szCs w:val="22"/>
        </w:rPr>
        <w:t xml:space="preserve"> </w:t>
      </w:r>
      <w:proofErr w:type="spellStart"/>
      <w:r w:rsidR="00C914DA" w:rsidRPr="00312923">
        <w:rPr>
          <w:rFonts w:ascii="Cambria" w:hAnsi="Cambria"/>
          <w:sz w:val="22"/>
          <w:szCs w:val="22"/>
        </w:rPr>
        <w:t>și</w:t>
      </w:r>
      <w:proofErr w:type="spellEnd"/>
      <w:r w:rsidR="00C914DA" w:rsidRPr="00312923">
        <w:rPr>
          <w:rFonts w:ascii="Cambria" w:hAnsi="Cambria"/>
          <w:sz w:val="22"/>
          <w:szCs w:val="22"/>
        </w:rPr>
        <w:t xml:space="preserve"> </w:t>
      </w:r>
      <w:proofErr w:type="spellStart"/>
      <w:r w:rsidR="00C914DA" w:rsidRPr="00312923">
        <w:rPr>
          <w:rFonts w:ascii="Cambria" w:hAnsi="Cambria"/>
          <w:sz w:val="22"/>
          <w:szCs w:val="22"/>
        </w:rPr>
        <w:t>clarificări</w:t>
      </w:r>
      <w:proofErr w:type="spellEnd"/>
      <w:r w:rsidR="00C914DA" w:rsidRPr="00312923">
        <w:rPr>
          <w:rFonts w:ascii="Cambria" w:hAnsi="Cambria"/>
          <w:sz w:val="22"/>
          <w:szCs w:val="22"/>
        </w:rPr>
        <w:t xml:space="preserve"> </w:t>
      </w:r>
      <w:proofErr w:type="spellStart"/>
      <w:r w:rsidR="00C914DA" w:rsidRPr="00312923">
        <w:rPr>
          <w:rFonts w:ascii="Cambria" w:hAnsi="Cambria"/>
          <w:sz w:val="22"/>
          <w:szCs w:val="22"/>
        </w:rPr>
        <w:t>oficiale</w:t>
      </w:r>
      <w:proofErr w:type="spellEnd"/>
      <w:r w:rsidR="00C914DA" w:rsidRPr="00312923">
        <w:rPr>
          <w:rFonts w:ascii="Cambria" w:hAnsi="Cambria"/>
          <w:sz w:val="22"/>
          <w:szCs w:val="22"/>
        </w:rPr>
        <w:t xml:space="preserve"> </w:t>
      </w:r>
      <w:proofErr w:type="spellStart"/>
      <w:r w:rsidR="00C914DA" w:rsidRPr="00312923">
        <w:rPr>
          <w:rFonts w:ascii="Cambria" w:hAnsi="Cambria"/>
          <w:sz w:val="22"/>
          <w:szCs w:val="22"/>
        </w:rPr>
        <w:t>către</w:t>
      </w:r>
      <w:proofErr w:type="spellEnd"/>
      <w:r w:rsidR="00C914DA" w:rsidRPr="00312923">
        <w:rPr>
          <w:rFonts w:ascii="Cambria" w:hAnsi="Cambria"/>
          <w:sz w:val="22"/>
          <w:szCs w:val="22"/>
        </w:rPr>
        <w:t xml:space="preserve"> mass-media.</w:t>
      </w:r>
    </w:p>
    <w:p w14:paraId="36DA1160" w14:textId="62717A43" w:rsidR="003368C8" w:rsidRPr="00312923" w:rsidRDefault="003368C8" w:rsidP="003368C8">
      <w:pPr>
        <w:jc w:val="both"/>
        <w:rPr>
          <w:rFonts w:ascii="Cambria" w:hAnsi="Cambria"/>
          <w:sz w:val="22"/>
          <w:szCs w:val="22"/>
        </w:rPr>
      </w:pPr>
      <w:proofErr w:type="spellStart"/>
      <w:r w:rsidRPr="00312923">
        <w:rPr>
          <w:rFonts w:ascii="Cambria" w:hAnsi="Cambria"/>
          <w:sz w:val="22"/>
          <w:szCs w:val="22"/>
        </w:rPr>
        <w:t>Aceste</w:t>
      </w:r>
      <w:proofErr w:type="spellEnd"/>
      <w:r w:rsidRPr="00312923">
        <w:rPr>
          <w:rFonts w:ascii="Cambria" w:hAnsi="Cambria"/>
          <w:sz w:val="22"/>
          <w:szCs w:val="22"/>
        </w:rPr>
        <w:t xml:space="preserve"> </w:t>
      </w:r>
      <w:proofErr w:type="spellStart"/>
      <w:r w:rsidRPr="00312923">
        <w:rPr>
          <w:rFonts w:ascii="Cambria" w:hAnsi="Cambria"/>
          <w:sz w:val="22"/>
          <w:szCs w:val="22"/>
        </w:rPr>
        <w:t>poziții</w:t>
      </w:r>
      <w:proofErr w:type="spellEnd"/>
      <w:r w:rsidRPr="00312923">
        <w:rPr>
          <w:rFonts w:ascii="Cambria" w:hAnsi="Cambria"/>
          <w:sz w:val="22"/>
          <w:szCs w:val="22"/>
        </w:rPr>
        <w:t xml:space="preserve"> </w:t>
      </w:r>
      <w:proofErr w:type="spellStart"/>
      <w:r w:rsidRPr="00312923">
        <w:rPr>
          <w:rFonts w:ascii="Cambria" w:hAnsi="Cambria"/>
          <w:sz w:val="22"/>
          <w:szCs w:val="22"/>
        </w:rPr>
        <w:t>publice</w:t>
      </w:r>
      <w:proofErr w:type="spellEnd"/>
      <w:r w:rsidRPr="00312923">
        <w:rPr>
          <w:rFonts w:ascii="Cambria" w:hAnsi="Cambria"/>
          <w:sz w:val="22"/>
          <w:szCs w:val="22"/>
        </w:rPr>
        <w:t xml:space="preserve"> sunt </w:t>
      </w:r>
      <w:proofErr w:type="spellStart"/>
      <w:r w:rsidRPr="00312923">
        <w:rPr>
          <w:rFonts w:ascii="Cambria" w:hAnsi="Cambria"/>
          <w:sz w:val="22"/>
          <w:szCs w:val="22"/>
        </w:rPr>
        <w:t>ı̂nsa</w:t>
      </w:r>
      <w:proofErr w:type="spellEnd"/>
      <w:r w:rsidRPr="00312923">
        <w:rPr>
          <w:rFonts w:ascii="Cambria" w:hAnsi="Cambria"/>
          <w:sz w:val="22"/>
          <w:szCs w:val="22"/>
        </w:rPr>
        <w:t xml:space="preserve">̆ </w:t>
      </w:r>
      <w:proofErr w:type="spellStart"/>
      <w:r w:rsidRPr="00312923">
        <w:rPr>
          <w:rFonts w:ascii="Cambria" w:hAnsi="Cambria"/>
          <w:sz w:val="22"/>
          <w:szCs w:val="22"/>
        </w:rPr>
        <w:t>omise</w:t>
      </w:r>
      <w:proofErr w:type="spellEnd"/>
      <w:r w:rsidRPr="00312923">
        <w:rPr>
          <w:rFonts w:ascii="Cambria" w:hAnsi="Cambria"/>
          <w:sz w:val="22"/>
          <w:szCs w:val="22"/>
        </w:rPr>
        <w:t xml:space="preserve"> </w:t>
      </w:r>
      <w:proofErr w:type="spellStart"/>
      <w:r w:rsidRPr="00312923">
        <w:rPr>
          <w:rFonts w:ascii="Cambria" w:hAnsi="Cambria"/>
          <w:sz w:val="22"/>
          <w:szCs w:val="22"/>
        </w:rPr>
        <w:t>sau</w:t>
      </w:r>
      <w:proofErr w:type="spellEnd"/>
      <w:r w:rsidRPr="00312923">
        <w:rPr>
          <w:rFonts w:ascii="Cambria" w:hAnsi="Cambria"/>
          <w:sz w:val="22"/>
          <w:szCs w:val="22"/>
        </w:rPr>
        <w:t xml:space="preserve"> </w:t>
      </w:r>
      <w:proofErr w:type="spellStart"/>
      <w:r w:rsidRPr="00312923">
        <w:rPr>
          <w:rFonts w:ascii="Cambria" w:hAnsi="Cambria"/>
          <w:sz w:val="22"/>
          <w:szCs w:val="22"/>
        </w:rPr>
        <w:t>ignorate</w:t>
      </w:r>
      <w:proofErr w:type="spellEnd"/>
      <w:r w:rsidRPr="00312923">
        <w:rPr>
          <w:rFonts w:ascii="Cambria" w:hAnsi="Cambria"/>
          <w:sz w:val="22"/>
          <w:szCs w:val="22"/>
        </w:rPr>
        <w:t xml:space="preserve">, </w:t>
      </w:r>
      <w:proofErr w:type="spellStart"/>
      <w:r w:rsidRPr="00312923">
        <w:rPr>
          <w:rFonts w:ascii="Cambria" w:hAnsi="Cambria"/>
          <w:sz w:val="22"/>
          <w:szCs w:val="22"/>
        </w:rPr>
        <w:t>iar</w:t>
      </w:r>
      <w:proofErr w:type="spellEnd"/>
      <w:r w:rsidRPr="00312923">
        <w:rPr>
          <w:rFonts w:ascii="Cambria" w:hAnsi="Cambria"/>
          <w:sz w:val="22"/>
          <w:szCs w:val="22"/>
        </w:rPr>
        <w:t xml:space="preserve"> </w:t>
      </w:r>
      <w:proofErr w:type="spellStart"/>
      <w:r w:rsidRPr="00312923">
        <w:rPr>
          <w:rFonts w:ascii="Cambria" w:hAnsi="Cambria"/>
          <w:sz w:val="22"/>
          <w:szCs w:val="22"/>
        </w:rPr>
        <w:t>informațiile</w:t>
      </w:r>
      <w:proofErr w:type="spellEnd"/>
      <w:r w:rsidRPr="00312923">
        <w:rPr>
          <w:rFonts w:ascii="Cambria" w:hAnsi="Cambria"/>
          <w:sz w:val="22"/>
          <w:szCs w:val="22"/>
        </w:rPr>
        <w:t xml:space="preserve"> sunt </w:t>
      </w:r>
      <w:proofErr w:type="spellStart"/>
      <w:r w:rsidR="00DD4E20">
        <w:rPr>
          <w:rFonts w:ascii="Cambria" w:hAnsi="Cambria"/>
          <w:sz w:val="22"/>
          <w:szCs w:val="22"/>
        </w:rPr>
        <w:t>prezentate</w:t>
      </w:r>
      <w:proofErr w:type="spellEnd"/>
      <w:r w:rsidRPr="00312923">
        <w:rPr>
          <w:rFonts w:ascii="Cambria" w:hAnsi="Cambria"/>
          <w:sz w:val="22"/>
          <w:szCs w:val="22"/>
        </w:rPr>
        <w:t xml:space="preserve"> </w:t>
      </w:r>
      <w:proofErr w:type="spellStart"/>
      <w:r w:rsidRPr="00312923">
        <w:rPr>
          <w:rFonts w:ascii="Cambria" w:hAnsi="Cambria"/>
          <w:sz w:val="22"/>
          <w:szCs w:val="22"/>
        </w:rPr>
        <w:t>ı̂ntr-o</w:t>
      </w:r>
      <w:proofErr w:type="spellEnd"/>
      <w:r w:rsidRPr="00312923">
        <w:rPr>
          <w:rFonts w:ascii="Cambria" w:hAnsi="Cambria"/>
          <w:sz w:val="22"/>
          <w:szCs w:val="22"/>
        </w:rPr>
        <w:t xml:space="preserve"> </w:t>
      </w:r>
      <w:proofErr w:type="spellStart"/>
      <w:r w:rsidR="00DD4E20">
        <w:rPr>
          <w:rFonts w:ascii="Cambria" w:hAnsi="Cambria"/>
          <w:sz w:val="22"/>
          <w:szCs w:val="22"/>
        </w:rPr>
        <w:t>altă</w:t>
      </w:r>
      <w:proofErr w:type="spellEnd"/>
      <w:r w:rsidR="00DD4E20">
        <w:rPr>
          <w:rFonts w:ascii="Cambria" w:hAnsi="Cambria"/>
          <w:sz w:val="22"/>
          <w:szCs w:val="22"/>
        </w:rPr>
        <w:t xml:space="preserve"> </w:t>
      </w:r>
      <w:r w:rsidRPr="00312923">
        <w:rPr>
          <w:rFonts w:ascii="Cambria" w:hAnsi="Cambria"/>
          <w:sz w:val="22"/>
          <w:szCs w:val="22"/>
        </w:rPr>
        <w:t>formă</w:t>
      </w:r>
      <w:r w:rsidR="00DD4E20">
        <w:rPr>
          <w:rFonts w:ascii="Cambria" w:hAnsi="Cambria"/>
          <w:sz w:val="22"/>
          <w:szCs w:val="22"/>
        </w:rPr>
        <w:t>.</w:t>
      </w:r>
    </w:p>
    <w:p w14:paraId="627928E4" w14:textId="39A57064" w:rsidR="008B4DD6" w:rsidRPr="00312923" w:rsidRDefault="00C914DA" w:rsidP="003368C8">
      <w:pPr>
        <w:jc w:val="both"/>
        <w:rPr>
          <w:rFonts w:ascii="Cambria" w:hAnsi="Cambria"/>
          <w:sz w:val="22"/>
          <w:szCs w:val="22"/>
        </w:rPr>
      </w:pPr>
      <w:proofErr w:type="spellStart"/>
      <w:r w:rsidRPr="00312923">
        <w:rPr>
          <w:rFonts w:ascii="Cambria" w:hAnsi="Cambria"/>
          <w:sz w:val="22"/>
          <w:szCs w:val="22"/>
        </w:rPr>
        <w:t>În</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ceea</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ce</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privește</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societățile</w:t>
      </w:r>
      <w:proofErr w:type="spellEnd"/>
      <w:r w:rsidR="003368C8" w:rsidRPr="00312923">
        <w:rPr>
          <w:rFonts w:ascii="Cambria" w:hAnsi="Cambria"/>
          <w:sz w:val="22"/>
          <w:szCs w:val="22"/>
        </w:rPr>
        <w:t xml:space="preserve"> din </w:t>
      </w:r>
      <w:proofErr w:type="spellStart"/>
      <w:r w:rsidR="003368C8" w:rsidRPr="00312923">
        <w:rPr>
          <w:rFonts w:ascii="Cambria" w:hAnsi="Cambria"/>
          <w:sz w:val="22"/>
          <w:szCs w:val="22"/>
        </w:rPr>
        <w:t>grupul</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Tinmar</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și</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administratorii</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acestora</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Parchetul</w:t>
      </w:r>
      <w:proofErr w:type="spellEnd"/>
      <w:r w:rsidR="003368C8" w:rsidRPr="00312923">
        <w:rPr>
          <w:rFonts w:ascii="Cambria" w:hAnsi="Cambria"/>
          <w:sz w:val="22"/>
          <w:szCs w:val="22"/>
        </w:rPr>
        <w:t xml:space="preserve"> de pe </w:t>
      </w:r>
      <w:proofErr w:type="spellStart"/>
      <w:r w:rsidR="003368C8" w:rsidRPr="00312923">
        <w:rPr>
          <w:rFonts w:ascii="Cambria" w:hAnsi="Cambria"/>
          <w:sz w:val="22"/>
          <w:szCs w:val="22"/>
        </w:rPr>
        <w:t>lângă</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Înalta</w:t>
      </w:r>
      <w:proofErr w:type="spellEnd"/>
      <w:r w:rsidR="008B4DD6" w:rsidRPr="00312923">
        <w:rPr>
          <w:rFonts w:ascii="Cambria" w:hAnsi="Cambria"/>
          <w:sz w:val="22"/>
          <w:szCs w:val="22"/>
        </w:rPr>
        <w:t xml:space="preserve"> </w:t>
      </w:r>
      <w:proofErr w:type="spellStart"/>
      <w:r w:rsidR="003368C8" w:rsidRPr="00312923">
        <w:rPr>
          <w:rFonts w:ascii="Cambria" w:hAnsi="Cambria"/>
          <w:sz w:val="22"/>
          <w:szCs w:val="22"/>
        </w:rPr>
        <w:t>Curte</w:t>
      </w:r>
      <w:proofErr w:type="spellEnd"/>
      <w:r w:rsidR="003368C8" w:rsidRPr="00312923">
        <w:rPr>
          <w:rFonts w:ascii="Cambria" w:hAnsi="Cambria"/>
          <w:sz w:val="22"/>
          <w:szCs w:val="22"/>
        </w:rPr>
        <w:t xml:space="preserve"> de </w:t>
      </w:r>
      <w:proofErr w:type="spellStart"/>
      <w:r w:rsidR="003368C8" w:rsidRPr="00312923">
        <w:rPr>
          <w:rFonts w:ascii="Cambria" w:hAnsi="Cambria"/>
          <w:sz w:val="22"/>
          <w:szCs w:val="22"/>
        </w:rPr>
        <w:t>Casație</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și</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Justiție</w:t>
      </w:r>
      <w:proofErr w:type="spellEnd"/>
      <w:r w:rsidR="003368C8" w:rsidRPr="00312923">
        <w:rPr>
          <w:rFonts w:ascii="Cambria" w:hAnsi="Cambria"/>
          <w:sz w:val="22"/>
          <w:szCs w:val="22"/>
        </w:rPr>
        <w:t xml:space="preserve"> a </w:t>
      </w:r>
      <w:proofErr w:type="spellStart"/>
      <w:r w:rsidR="003368C8" w:rsidRPr="00312923">
        <w:rPr>
          <w:rFonts w:ascii="Cambria" w:hAnsi="Cambria"/>
          <w:sz w:val="22"/>
          <w:szCs w:val="22"/>
        </w:rPr>
        <w:t>con</w:t>
      </w:r>
      <w:r w:rsidR="008B4DD6" w:rsidRPr="00312923">
        <w:rPr>
          <w:rFonts w:ascii="Cambria" w:eastAsia="Cambria" w:hAnsi="Cambria" w:cs="Cambria"/>
          <w:sz w:val="22"/>
          <w:szCs w:val="22"/>
        </w:rPr>
        <w:t>f</w:t>
      </w:r>
      <w:r w:rsidR="003368C8" w:rsidRPr="00312923">
        <w:rPr>
          <w:rFonts w:ascii="Cambria" w:hAnsi="Cambria"/>
          <w:sz w:val="22"/>
          <w:szCs w:val="22"/>
        </w:rPr>
        <w:t>irmat</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în</w:t>
      </w:r>
      <w:proofErr w:type="spellEnd"/>
      <w:r w:rsidR="003368C8" w:rsidRPr="00312923">
        <w:rPr>
          <w:rFonts w:ascii="Cambria" w:hAnsi="Cambria"/>
          <w:sz w:val="22"/>
          <w:szCs w:val="22"/>
        </w:rPr>
        <w:t xml:space="preserve"> mod </w:t>
      </w:r>
      <w:proofErr w:type="spellStart"/>
      <w:r w:rsidR="003368C8" w:rsidRPr="00312923">
        <w:rPr>
          <w:rFonts w:ascii="Cambria" w:hAnsi="Cambria"/>
          <w:sz w:val="22"/>
          <w:szCs w:val="22"/>
        </w:rPr>
        <w:t>expres</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în</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scris</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prin</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adresa</w:t>
      </w:r>
      <w:proofErr w:type="spellEnd"/>
      <w:r w:rsidR="003368C8" w:rsidRPr="00312923">
        <w:rPr>
          <w:rFonts w:ascii="Cambria" w:hAnsi="Cambria"/>
          <w:sz w:val="22"/>
          <w:szCs w:val="22"/>
        </w:rPr>
        <w:t xml:space="preserve"> din data de 25.11.2025, că</w:t>
      </w:r>
      <w:r w:rsidR="008B4DD6" w:rsidRPr="00312923">
        <w:rPr>
          <w:rFonts w:ascii="Cambria" w:hAnsi="Cambria"/>
          <w:sz w:val="22"/>
          <w:szCs w:val="22"/>
        </w:rPr>
        <w:t xml:space="preserve"> </w:t>
      </w:r>
      <w:proofErr w:type="spellStart"/>
      <w:r w:rsidR="003368C8" w:rsidRPr="00312923">
        <w:rPr>
          <w:rFonts w:ascii="Cambria" w:hAnsi="Cambria"/>
          <w:sz w:val="22"/>
          <w:szCs w:val="22"/>
        </w:rPr>
        <w:t>niciuna</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dintre</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aceste</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entități</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sau</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persoane</w:t>
      </w:r>
      <w:proofErr w:type="spellEnd"/>
      <w:r w:rsidR="003368C8" w:rsidRPr="00312923">
        <w:rPr>
          <w:rFonts w:ascii="Cambria" w:hAnsi="Cambria"/>
          <w:sz w:val="22"/>
          <w:szCs w:val="22"/>
        </w:rPr>
        <w:t xml:space="preserve"> nu face </w:t>
      </w:r>
      <w:proofErr w:type="spellStart"/>
      <w:r w:rsidR="003368C8" w:rsidRPr="00312923">
        <w:rPr>
          <w:rFonts w:ascii="Cambria" w:hAnsi="Cambria"/>
          <w:sz w:val="22"/>
          <w:szCs w:val="22"/>
        </w:rPr>
        <w:t>obiectul</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vreunei</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acuzații</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penale</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neavând</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prin</w:t>
      </w:r>
      <w:proofErr w:type="spellEnd"/>
      <w:r w:rsidR="008B4DD6" w:rsidRPr="00312923">
        <w:rPr>
          <w:rFonts w:ascii="Cambria" w:hAnsi="Cambria"/>
          <w:sz w:val="22"/>
          <w:szCs w:val="22"/>
        </w:rPr>
        <w:t xml:space="preserve"> </w:t>
      </w:r>
      <w:proofErr w:type="spellStart"/>
      <w:r w:rsidR="003368C8" w:rsidRPr="00312923">
        <w:rPr>
          <w:rFonts w:ascii="Cambria" w:hAnsi="Cambria"/>
          <w:sz w:val="22"/>
          <w:szCs w:val="22"/>
        </w:rPr>
        <w:t>urmare</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calitatea</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procesuală</w:t>
      </w:r>
      <w:proofErr w:type="spellEnd"/>
      <w:r w:rsidR="003368C8" w:rsidRPr="00312923">
        <w:rPr>
          <w:rFonts w:ascii="Cambria" w:hAnsi="Cambria"/>
          <w:sz w:val="22"/>
          <w:szCs w:val="22"/>
        </w:rPr>
        <w:t xml:space="preserve"> de suspect </w:t>
      </w:r>
      <w:proofErr w:type="spellStart"/>
      <w:r w:rsidR="003368C8" w:rsidRPr="00312923">
        <w:rPr>
          <w:rFonts w:ascii="Cambria" w:hAnsi="Cambria"/>
          <w:sz w:val="22"/>
          <w:szCs w:val="22"/>
        </w:rPr>
        <w:t>sau</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inculpat</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în</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cauză</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ı̂n</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sensul</w:t>
      </w:r>
      <w:proofErr w:type="spellEnd"/>
      <w:r w:rsidR="003368C8" w:rsidRPr="00312923">
        <w:rPr>
          <w:rFonts w:ascii="Cambria" w:hAnsi="Cambria"/>
          <w:sz w:val="22"/>
          <w:szCs w:val="22"/>
        </w:rPr>
        <w:t xml:space="preserve"> art. 305 </w:t>
      </w:r>
      <w:proofErr w:type="spellStart"/>
      <w:r w:rsidR="003368C8" w:rsidRPr="00312923">
        <w:rPr>
          <w:rFonts w:ascii="Cambria" w:hAnsi="Cambria"/>
          <w:sz w:val="22"/>
          <w:szCs w:val="22"/>
        </w:rPr>
        <w:t>alin</w:t>
      </w:r>
      <w:proofErr w:type="spellEnd"/>
      <w:r w:rsidR="003368C8" w:rsidRPr="00312923">
        <w:rPr>
          <w:rFonts w:ascii="Cambria" w:hAnsi="Cambria"/>
          <w:sz w:val="22"/>
          <w:szCs w:val="22"/>
        </w:rPr>
        <w:t xml:space="preserve">. (3) </w:t>
      </w:r>
      <w:proofErr w:type="spellStart"/>
      <w:r w:rsidR="003368C8" w:rsidRPr="00312923">
        <w:rPr>
          <w:rFonts w:ascii="Cambria" w:hAnsi="Cambria"/>
          <w:sz w:val="22"/>
          <w:szCs w:val="22"/>
        </w:rPr>
        <w:t>și</w:t>
      </w:r>
      <w:proofErr w:type="spellEnd"/>
      <w:r w:rsidR="003368C8" w:rsidRPr="00312923">
        <w:rPr>
          <w:rFonts w:ascii="Cambria" w:hAnsi="Cambria"/>
          <w:sz w:val="22"/>
          <w:szCs w:val="22"/>
        </w:rPr>
        <w:t xml:space="preserve"> (4) din </w:t>
      </w:r>
      <w:proofErr w:type="spellStart"/>
      <w:r w:rsidR="003368C8" w:rsidRPr="00312923">
        <w:rPr>
          <w:rFonts w:ascii="Cambria" w:hAnsi="Cambria"/>
          <w:sz w:val="22"/>
          <w:szCs w:val="22"/>
        </w:rPr>
        <w:t>Codul</w:t>
      </w:r>
      <w:proofErr w:type="spellEnd"/>
      <w:r w:rsidR="008B4DD6" w:rsidRPr="00312923">
        <w:rPr>
          <w:rFonts w:ascii="Cambria" w:hAnsi="Cambria"/>
          <w:sz w:val="22"/>
          <w:szCs w:val="22"/>
        </w:rPr>
        <w:t xml:space="preserve"> </w:t>
      </w:r>
      <w:r w:rsidR="003368C8" w:rsidRPr="00312923">
        <w:rPr>
          <w:rFonts w:ascii="Cambria" w:hAnsi="Cambria"/>
          <w:sz w:val="22"/>
          <w:szCs w:val="22"/>
        </w:rPr>
        <w:t xml:space="preserve">de </w:t>
      </w:r>
      <w:proofErr w:type="spellStart"/>
      <w:r w:rsidR="003368C8" w:rsidRPr="00312923">
        <w:rPr>
          <w:rFonts w:ascii="Cambria" w:hAnsi="Cambria"/>
          <w:sz w:val="22"/>
          <w:szCs w:val="22"/>
        </w:rPr>
        <w:t>procedura</w:t>
      </w:r>
      <w:proofErr w:type="spellEnd"/>
      <w:r w:rsidR="003368C8" w:rsidRPr="00312923">
        <w:rPr>
          <w:rFonts w:ascii="Cambria" w:hAnsi="Cambria"/>
          <w:sz w:val="22"/>
          <w:szCs w:val="22"/>
        </w:rPr>
        <w:t xml:space="preserve">̆ </w:t>
      </w:r>
      <w:proofErr w:type="spellStart"/>
      <w:r w:rsidR="003368C8" w:rsidRPr="00312923">
        <w:rPr>
          <w:rFonts w:ascii="Cambria" w:hAnsi="Cambria"/>
          <w:sz w:val="22"/>
          <w:szCs w:val="22"/>
        </w:rPr>
        <w:t>penala</w:t>
      </w:r>
      <w:proofErr w:type="spellEnd"/>
      <w:r w:rsidR="003368C8" w:rsidRPr="00312923">
        <w:rPr>
          <w:rFonts w:ascii="Cambria" w:hAnsi="Cambria"/>
          <w:sz w:val="22"/>
          <w:szCs w:val="22"/>
        </w:rPr>
        <w:t>̆</w:t>
      </w:r>
    </w:p>
    <w:p w14:paraId="24EB84AE" w14:textId="3EABDE3A" w:rsidR="00AD38F3" w:rsidRPr="00312923" w:rsidRDefault="00AD38F3" w:rsidP="003368C8">
      <w:pPr>
        <w:jc w:val="both"/>
        <w:rPr>
          <w:rFonts w:ascii="Cambria" w:hAnsi="Cambria"/>
          <w:sz w:val="22"/>
          <w:szCs w:val="22"/>
          <w:lang w:val="pt-BR"/>
        </w:rPr>
      </w:pPr>
      <w:r w:rsidRPr="00312923">
        <w:rPr>
          <w:rFonts w:ascii="Cambria" w:hAnsi="Cambria"/>
          <w:noProof/>
          <w:sz w:val="22"/>
          <w:szCs w:val="22"/>
        </w:rPr>
        <w:drawing>
          <wp:inline distT="0" distB="0" distL="0" distR="0" wp14:anchorId="14B1D016" wp14:editId="75771968">
            <wp:extent cx="5542280" cy="1116094"/>
            <wp:effectExtent l="0" t="0" r="1270" b="8255"/>
            <wp:docPr id="1966089451" name="Picture 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89451" name="Picture 1" descr="A close-up of a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3793" cy="1132509"/>
                    </a:xfrm>
                    <a:prstGeom prst="rect">
                      <a:avLst/>
                    </a:prstGeom>
                    <a:noFill/>
                  </pic:spPr>
                </pic:pic>
              </a:graphicData>
            </a:graphic>
          </wp:inline>
        </w:drawing>
      </w:r>
    </w:p>
    <w:p w14:paraId="2EC7900D" w14:textId="2C69F710" w:rsidR="006D78DB" w:rsidRPr="00312923" w:rsidRDefault="006D78DB" w:rsidP="006D78DB">
      <w:pPr>
        <w:jc w:val="both"/>
        <w:rPr>
          <w:rFonts w:ascii="Cambria" w:hAnsi="Cambria"/>
          <w:sz w:val="22"/>
          <w:szCs w:val="22"/>
          <w:lang w:val="pt-BR"/>
        </w:rPr>
      </w:pPr>
      <w:r w:rsidRPr="00312923">
        <w:rPr>
          <w:rFonts w:ascii="Cambria" w:hAnsi="Cambria"/>
          <w:sz w:val="22"/>
          <w:szCs w:val="22"/>
          <w:lang w:val="pt-BR"/>
        </w:rPr>
        <w:t xml:space="preserve">Invocarea noțiunii de „urmărire penală” în acest context este </w:t>
      </w:r>
      <w:r w:rsidR="000900D0" w:rsidRPr="00312923">
        <w:rPr>
          <w:rFonts w:ascii="Cambria" w:hAnsi="Cambria"/>
          <w:sz w:val="22"/>
          <w:szCs w:val="22"/>
          <w:lang w:val="pt-BR"/>
        </w:rPr>
        <w:t xml:space="preserve">evident </w:t>
      </w:r>
      <w:r w:rsidRPr="00312923">
        <w:rPr>
          <w:rFonts w:ascii="Cambria" w:hAnsi="Cambria"/>
          <w:sz w:val="22"/>
          <w:szCs w:val="22"/>
          <w:lang w:val="pt-BR"/>
        </w:rPr>
        <w:t xml:space="preserve">înșelătoare și nu are nicio legătură cu realitatea juridică. Este o formulă folosită intenționat pentru a </w:t>
      </w:r>
      <w:r w:rsidR="00DD4E20">
        <w:rPr>
          <w:rFonts w:ascii="Cambria" w:hAnsi="Cambria"/>
          <w:sz w:val="22"/>
          <w:szCs w:val="22"/>
          <w:lang w:val="pt-BR"/>
        </w:rPr>
        <w:t>reaminti</w:t>
      </w:r>
      <w:r w:rsidRPr="00312923">
        <w:rPr>
          <w:rFonts w:ascii="Cambria" w:hAnsi="Cambria"/>
          <w:sz w:val="22"/>
          <w:szCs w:val="22"/>
          <w:lang w:val="pt-BR"/>
        </w:rPr>
        <w:t xml:space="preserve"> știri vechi, a crea senzațional în mod nejustificat, o suspiciune publică asupra domnului Augustin Oancea și a societăților din grupul Tinmar.</w:t>
      </w:r>
    </w:p>
    <w:p w14:paraId="38EE0C14" w14:textId="77777777" w:rsidR="006D78DB" w:rsidRPr="00312923" w:rsidRDefault="006D78DB" w:rsidP="006D78DB">
      <w:pPr>
        <w:jc w:val="both"/>
        <w:rPr>
          <w:rFonts w:ascii="Cambria" w:hAnsi="Cambria"/>
          <w:sz w:val="22"/>
          <w:szCs w:val="22"/>
          <w:lang w:val="pt-BR"/>
        </w:rPr>
      </w:pPr>
      <w:r w:rsidRPr="00312923">
        <w:rPr>
          <w:rFonts w:ascii="Cambria" w:hAnsi="Cambria"/>
          <w:sz w:val="22"/>
          <w:szCs w:val="22"/>
          <w:lang w:val="pt-BR"/>
        </w:rPr>
        <w:t>Această abordare nu este una izolată. Ea se înscrie într-o serie repetată de articole lipsite de fundament real, care urmăresc în mod constant discreditarea domnului Augustin Oancea și a grupului Tinmar, prin reluarea acelorași teme și insinuări infirmate anterior. În acest context, modul de prezentare și insistența asupra unor narative false sau deformate sugerează alinierea la interesele unei persoane sau ale unui grup de interese care urmăresc eliminarea din piață a grupului Tinmar și compromiterea reputației domnului Augustin Oancea, sub aparența unui demers jurnalistic.</w:t>
      </w:r>
    </w:p>
    <w:p w14:paraId="2ECC49FE" w14:textId="77777777" w:rsidR="006D78DB" w:rsidRPr="00312923" w:rsidRDefault="006D78DB" w:rsidP="006D78DB">
      <w:pPr>
        <w:jc w:val="both"/>
        <w:rPr>
          <w:rFonts w:ascii="Cambria" w:hAnsi="Cambria"/>
          <w:sz w:val="22"/>
          <w:szCs w:val="22"/>
          <w:lang w:val="pt-BR"/>
        </w:rPr>
      </w:pPr>
      <w:r w:rsidRPr="00312923">
        <w:rPr>
          <w:rFonts w:ascii="Cambria" w:hAnsi="Cambria"/>
          <w:sz w:val="22"/>
          <w:szCs w:val="22"/>
          <w:lang w:val="pt-BR"/>
        </w:rPr>
        <w:t>Cu privire la situația de fapt reținută în comunicatul Ministerului Public, reluăm concluziile transmise deja către mass-media, concluzii care rămân valabile și care sunt susținute de documente și evidențe contabile puse la dispoziția autorităților competente:</w:t>
      </w:r>
    </w:p>
    <w:p w14:paraId="6E3F5DCD" w14:textId="77777777" w:rsidR="006D78DB" w:rsidRPr="00312923" w:rsidRDefault="006D78DB" w:rsidP="006D78DB">
      <w:pPr>
        <w:numPr>
          <w:ilvl w:val="0"/>
          <w:numId w:val="1"/>
        </w:numPr>
        <w:jc w:val="both"/>
        <w:rPr>
          <w:rFonts w:ascii="Cambria" w:hAnsi="Cambria"/>
          <w:sz w:val="22"/>
          <w:szCs w:val="22"/>
          <w:lang w:val="it-IT"/>
        </w:rPr>
      </w:pPr>
      <w:r w:rsidRPr="00312923">
        <w:rPr>
          <w:rFonts w:ascii="Cambria" w:hAnsi="Cambria"/>
          <w:sz w:val="22"/>
          <w:szCs w:val="22"/>
          <w:lang w:val="it-IT"/>
        </w:rPr>
        <w:t>Toate tranzacțiile din cadrul grupului s-au desfășurat în limitele și condițiile impuse de lege, la prețurile de piață valabile la acel moment.</w:t>
      </w:r>
    </w:p>
    <w:p w14:paraId="0FFE7B16" w14:textId="77777777" w:rsidR="006D78DB" w:rsidRPr="00312923" w:rsidRDefault="006D78DB" w:rsidP="006D78DB">
      <w:pPr>
        <w:numPr>
          <w:ilvl w:val="0"/>
          <w:numId w:val="1"/>
        </w:numPr>
        <w:jc w:val="both"/>
        <w:rPr>
          <w:rFonts w:ascii="Cambria" w:hAnsi="Cambria"/>
          <w:sz w:val="22"/>
          <w:szCs w:val="22"/>
          <w:lang w:val="it-IT"/>
        </w:rPr>
      </w:pPr>
      <w:r w:rsidRPr="00312923">
        <w:rPr>
          <w:rFonts w:ascii="Cambria" w:hAnsi="Cambria"/>
          <w:sz w:val="22"/>
          <w:szCs w:val="22"/>
          <w:lang w:val="it-IT"/>
        </w:rPr>
        <w:t xml:space="preserve">Documentele și evidențele contabile care susțin toate aceste informații au fost și vor fi puse la dispoziția autorităților competente. Ele confirmă fără echivoc că nu a existat nicio „rotire a cantităților de energie” și că așa-numitul „circuit fictiv” menționat în unele relatări nu are fundament real. </w:t>
      </w:r>
      <w:r w:rsidRPr="00312923">
        <w:rPr>
          <w:rFonts w:ascii="Cambria" w:hAnsi="Cambria"/>
          <w:sz w:val="22"/>
          <w:szCs w:val="22"/>
          <w:lang w:val="it-IT"/>
        </w:rPr>
        <w:lastRenderedPageBreak/>
        <w:t>Menționăm că nu au existat operațiuni de „revânzare” în cadrul grupului, așa cum greșit s-a afirmat în spațiul public.</w:t>
      </w:r>
    </w:p>
    <w:p w14:paraId="1DC24B44" w14:textId="77777777" w:rsidR="00E53AED" w:rsidRPr="00312923" w:rsidRDefault="006D78DB" w:rsidP="00E53AED">
      <w:pPr>
        <w:numPr>
          <w:ilvl w:val="0"/>
          <w:numId w:val="1"/>
        </w:numPr>
        <w:jc w:val="both"/>
        <w:rPr>
          <w:rFonts w:ascii="Cambria" w:hAnsi="Cambria"/>
          <w:sz w:val="22"/>
          <w:szCs w:val="22"/>
          <w:lang w:val="it-IT"/>
        </w:rPr>
      </w:pPr>
      <w:r w:rsidRPr="00312923">
        <w:rPr>
          <w:rFonts w:ascii="Cambria" w:hAnsi="Cambria"/>
          <w:sz w:val="22"/>
          <w:szCs w:val="22"/>
          <w:lang w:val="it-IT"/>
        </w:rPr>
        <w:t>Tranzacțiile intragrup au reprezentat o pondere nesemnificativă din totalul operațiunilor comerciale, cantitatea de energie necesară consumului consumatorilor finali fiind acoperită prin tranzacții efectuate pe piețele reglementate de energie.</w:t>
      </w:r>
    </w:p>
    <w:p w14:paraId="5C643E44" w14:textId="0FD5353C" w:rsidR="00E53AED" w:rsidRPr="00312923" w:rsidRDefault="00E53AED" w:rsidP="00E53AED">
      <w:pPr>
        <w:numPr>
          <w:ilvl w:val="0"/>
          <w:numId w:val="1"/>
        </w:numPr>
        <w:jc w:val="both"/>
        <w:rPr>
          <w:rFonts w:ascii="Cambria" w:hAnsi="Cambria"/>
          <w:sz w:val="22"/>
          <w:szCs w:val="22"/>
          <w:lang w:val="it-IT"/>
        </w:rPr>
      </w:pPr>
      <w:r w:rsidRPr="00312923">
        <w:rPr>
          <w:rFonts w:ascii="Cambria" w:hAnsi="Cambria"/>
          <w:sz w:val="22"/>
          <w:szCs w:val="22"/>
          <w:lang w:val="it-IT"/>
        </w:rPr>
        <w:t>Toate deconturile și documentele depuse în acest sens au fost verificate de ANRE atât la momentul aprobării sumelor ce urmau a fi decontate, cât și ulterior, în cadrul controlului efectuat de autoritatea de reglementare. Controlul ANRE a vizat aceleași tranzacții, iar în urma verificărilor efectuate nu a fost identificată încălcarea vreunei dispoziții legale aplicabile și nu au fost dispuse sancțiuni. Documentele depuse nu puteau induce în eroare, întrucât toate informațiile conținute erau în deplin acord cu raportările periodice depuse la ANRE. În plus, este greu de susținut că autoritatea de reglementare care a elaborat ghidurile de raportare, care a verificat tranzacțiile declarate de societățile din grupul Tinmar, care avea acces complet atât la tranzacțiile angro, cât și la cele de furnizare către clienți finali, și care dispunea de toate pârghiile legale necesare, ar fi putut fi indusă în eroare de documente transmise corect, complet și în conformitate cu legea de către societățile Tinmar.</w:t>
      </w:r>
    </w:p>
    <w:p w14:paraId="156B0FAC" w14:textId="77777777" w:rsidR="006D78DB" w:rsidRPr="00312923" w:rsidRDefault="006D78DB" w:rsidP="006D78DB">
      <w:pPr>
        <w:jc w:val="both"/>
        <w:rPr>
          <w:rFonts w:ascii="Cambria" w:hAnsi="Cambria"/>
          <w:sz w:val="22"/>
          <w:szCs w:val="22"/>
          <w:lang w:val="it-IT"/>
        </w:rPr>
      </w:pPr>
      <w:r w:rsidRPr="00312923">
        <w:rPr>
          <w:rFonts w:ascii="Cambria" w:hAnsi="Cambria"/>
          <w:sz w:val="22"/>
          <w:szCs w:val="22"/>
          <w:lang w:val="it-IT"/>
        </w:rPr>
        <w:t>Nu există nicio legătură între amenda aplicată de ANRE în luna ianuarie 2024 și dosarul penal la care se face referire în articol.</w:t>
      </w:r>
    </w:p>
    <w:p w14:paraId="44C04731" w14:textId="77777777" w:rsidR="00C70F9C" w:rsidRDefault="00C70F9C" w:rsidP="005355DB">
      <w:pPr>
        <w:jc w:val="both"/>
        <w:rPr>
          <w:rFonts w:ascii="Cambria" w:hAnsi="Cambria"/>
          <w:sz w:val="22"/>
          <w:szCs w:val="22"/>
          <w:lang w:val="it-IT"/>
        </w:rPr>
      </w:pPr>
      <w:r w:rsidRPr="00C70F9C">
        <w:rPr>
          <w:rFonts w:ascii="Cambria" w:hAnsi="Cambria"/>
          <w:sz w:val="22"/>
          <w:szCs w:val="22"/>
          <w:lang w:val="it-IT"/>
        </w:rPr>
        <w:t>Faptul că instanțele de judecată au anulat amenda aplicată de ANRE societății Nova Power, în același dosar de investigație din care a făcut parte și societatea noastră, nu face decât să confirme punctul de vedere exprimat de Tinmar încă de la momentul aplicării sancțiunii, respectiv că toate tranzacțiile efectuate de societățile din grup s-au realizat cu respectarea prevederilor legale incidente, la prețurile pieței de la momentul tranzacționării, și că nu s-a urmărit și nu s-a realizat o manipulare a pieței.</w:t>
      </w:r>
    </w:p>
    <w:p w14:paraId="77D6EA73" w14:textId="1F456855" w:rsidR="009A1341" w:rsidRPr="00312923" w:rsidRDefault="009A1341" w:rsidP="005355DB">
      <w:pPr>
        <w:jc w:val="both"/>
        <w:rPr>
          <w:rFonts w:ascii="Cambria" w:hAnsi="Cambria"/>
          <w:sz w:val="22"/>
          <w:szCs w:val="22"/>
          <w:lang w:val="it-IT"/>
        </w:rPr>
      </w:pPr>
      <w:r w:rsidRPr="00312923">
        <w:rPr>
          <w:rFonts w:ascii="Cambria" w:hAnsi="Cambria"/>
          <w:sz w:val="22"/>
          <w:szCs w:val="22"/>
          <w:lang w:val="it-IT"/>
        </w:rPr>
        <w:t xml:space="preserve">Din cuprinsul soluțiilor pronunțate de instanțele de judecată în cauza privind societatea Nova Power rezultă că judecătorii au analizat în mod detaliat piața energiei, </w:t>
      </w:r>
      <w:r w:rsidR="00F159FD" w:rsidRPr="00312923">
        <w:rPr>
          <w:rFonts w:ascii="Cambria" w:hAnsi="Cambria"/>
          <w:sz w:val="22"/>
          <w:szCs w:val="22"/>
          <w:lang w:val="it-IT"/>
        </w:rPr>
        <w:t>o</w:t>
      </w:r>
      <w:r w:rsidRPr="00312923">
        <w:rPr>
          <w:rFonts w:ascii="Cambria" w:hAnsi="Cambria"/>
          <w:sz w:val="22"/>
          <w:szCs w:val="22"/>
          <w:lang w:val="it-IT"/>
        </w:rPr>
        <w:t xml:space="preserve"> piață complexă și intens reglementată, precum și condițiile efective în care au avut loc tranzacțiile investigate, prin raportare la cadrul normativ aplicabil, inclusiv Regulamentul REMIT. În urma acestei analize riguroase, instanțele au reținut că tranzacțiile respective se încadrează în limitele legale, că nu sunt întrunite elementele necesare pentru a reține existența unei manipulări de piață și că acestea reprezintă operațiuni conforme regulilor pieței, concluzii care reflectă o aplicare atentă și echilibrată a cadrului normativ incident.</w:t>
      </w:r>
    </w:p>
    <w:p w14:paraId="56EDE9B7" w14:textId="77777777" w:rsidR="00B6748F" w:rsidRPr="00B6748F" w:rsidRDefault="00B6748F" w:rsidP="00B6748F">
      <w:pPr>
        <w:jc w:val="both"/>
        <w:rPr>
          <w:rFonts w:ascii="Cambria" w:hAnsi="Cambria"/>
          <w:sz w:val="22"/>
          <w:szCs w:val="22"/>
          <w:lang w:val="it-IT"/>
        </w:rPr>
      </w:pPr>
      <w:r w:rsidRPr="00B6748F">
        <w:rPr>
          <w:rFonts w:ascii="Cambria" w:hAnsi="Cambria"/>
          <w:sz w:val="22"/>
          <w:szCs w:val="22"/>
          <w:lang w:val="it-IT"/>
        </w:rPr>
        <w:t>Totodată, subliniem în mod ferm că societățile din grupul Tinmar nu au nicio legătură, de nicio natură, nici cu scandalul intern apărut la nivelul ANRE, nici cu aspectele specifice analizate în dosarul Nova Power.</w:t>
      </w:r>
    </w:p>
    <w:p w14:paraId="16DB3F84" w14:textId="77777777" w:rsidR="005E3459" w:rsidRPr="00312923" w:rsidRDefault="005E3459" w:rsidP="005355DB">
      <w:pPr>
        <w:jc w:val="both"/>
        <w:rPr>
          <w:rFonts w:ascii="Cambria" w:hAnsi="Cambria"/>
          <w:sz w:val="22"/>
          <w:szCs w:val="22"/>
          <w:lang w:val="it-IT"/>
        </w:rPr>
      </w:pPr>
      <w:r w:rsidRPr="00312923">
        <w:rPr>
          <w:rFonts w:ascii="Cambria" w:hAnsi="Cambria"/>
          <w:sz w:val="22"/>
          <w:szCs w:val="22"/>
          <w:lang w:val="it-IT"/>
        </w:rPr>
        <w:t>Societatea noastră respectă pe deplin atât instituțiile statului, cât și pe ceilalți participanți la piața de energie, indiferent de ceea ce autorul articolului încearcă să sugereze sau să susțină în demersul său repetat de denigrare a imaginii companiei Tinmar și a deținătorului acesteia, dl. Augustin Oancea.</w:t>
      </w:r>
    </w:p>
    <w:p w14:paraId="293AECD8" w14:textId="75AD5D25" w:rsidR="005355DB" w:rsidRPr="00312923" w:rsidRDefault="005355DB" w:rsidP="005355DB">
      <w:pPr>
        <w:jc w:val="both"/>
        <w:rPr>
          <w:rFonts w:ascii="Cambria" w:hAnsi="Cambria"/>
          <w:sz w:val="22"/>
          <w:szCs w:val="22"/>
          <w:lang w:val="it-IT"/>
        </w:rPr>
      </w:pPr>
      <w:r w:rsidRPr="00312923">
        <w:rPr>
          <w:rFonts w:ascii="Cambria" w:hAnsi="Cambria"/>
          <w:sz w:val="22"/>
          <w:szCs w:val="22"/>
          <w:lang w:val="it-IT"/>
        </w:rPr>
        <w:t xml:space="preserve">Amenzile respective au fost aplicate la </w:t>
      </w:r>
      <w:r w:rsidRPr="00312923">
        <w:rPr>
          <w:rFonts w:ascii="Cambria" w:hAnsi="Cambria" w:hint="eastAsia"/>
          <w:sz w:val="22"/>
          <w:szCs w:val="22"/>
          <w:lang w:val="it-IT"/>
        </w:rPr>
        <w:t>ı̂</w:t>
      </w:r>
      <w:r w:rsidRPr="00312923">
        <w:rPr>
          <w:rFonts w:ascii="Cambria" w:hAnsi="Cambria"/>
          <w:sz w:val="22"/>
          <w:szCs w:val="22"/>
          <w:lang w:val="it-IT"/>
        </w:rPr>
        <w:t>nceputul aplicarii Regulamentului REMIT, iar interpretarile restrictive</w:t>
      </w:r>
      <w:r w:rsidR="00B91F51" w:rsidRPr="00312923">
        <w:rPr>
          <w:rFonts w:ascii="Cambria" w:hAnsi="Cambria"/>
          <w:sz w:val="22"/>
          <w:szCs w:val="22"/>
          <w:lang w:val="it-IT"/>
        </w:rPr>
        <w:t xml:space="preserve"> </w:t>
      </w:r>
      <w:r w:rsidRPr="00312923">
        <w:rPr>
          <w:rFonts w:ascii="Cambria" w:hAnsi="Cambria"/>
          <w:sz w:val="22"/>
          <w:szCs w:val="22"/>
          <w:lang w:val="it-IT"/>
        </w:rPr>
        <w:t>s</w:t>
      </w:r>
      <w:r w:rsidRPr="00312923">
        <w:rPr>
          <w:rFonts w:ascii="Cambria" w:hAnsi="Cambria" w:hint="eastAsia"/>
          <w:sz w:val="22"/>
          <w:szCs w:val="22"/>
          <w:lang w:val="it-IT"/>
        </w:rPr>
        <w:t>̦</w:t>
      </w:r>
      <w:r w:rsidRPr="00312923">
        <w:rPr>
          <w:rFonts w:ascii="Cambria" w:hAnsi="Cambria"/>
          <w:sz w:val="22"/>
          <w:szCs w:val="22"/>
          <w:lang w:val="it-IT"/>
        </w:rPr>
        <w:t>i limitative ale prevederilor acestuia au condus la aplicarea unor sanct</w:t>
      </w:r>
      <w:r w:rsidRPr="00312923">
        <w:rPr>
          <w:rFonts w:ascii="Cambria" w:hAnsi="Cambria" w:hint="eastAsia"/>
          <w:sz w:val="22"/>
          <w:szCs w:val="22"/>
          <w:lang w:val="it-IT"/>
        </w:rPr>
        <w:t>̦</w:t>
      </w:r>
      <w:r w:rsidRPr="00312923">
        <w:rPr>
          <w:rFonts w:ascii="Cambria" w:hAnsi="Cambria"/>
          <w:sz w:val="22"/>
          <w:szCs w:val="22"/>
          <w:lang w:val="it-IT"/>
        </w:rPr>
        <w:t>iuni nelegale s</w:t>
      </w:r>
      <w:r w:rsidRPr="00312923">
        <w:rPr>
          <w:rFonts w:ascii="Cambria" w:hAnsi="Cambria" w:hint="eastAsia"/>
          <w:sz w:val="22"/>
          <w:szCs w:val="22"/>
          <w:lang w:val="it-IT"/>
        </w:rPr>
        <w:t>̦</w:t>
      </w:r>
      <w:r w:rsidRPr="00312923">
        <w:rPr>
          <w:rFonts w:ascii="Cambria" w:hAnsi="Cambria"/>
          <w:sz w:val="22"/>
          <w:szCs w:val="22"/>
          <w:lang w:val="it-IT"/>
        </w:rPr>
        <w:t>i vadit disproport</w:t>
      </w:r>
      <w:r w:rsidRPr="00312923">
        <w:rPr>
          <w:rFonts w:ascii="Cambria" w:hAnsi="Cambria" w:hint="eastAsia"/>
          <w:sz w:val="22"/>
          <w:szCs w:val="22"/>
          <w:lang w:val="it-IT"/>
        </w:rPr>
        <w:t>̦</w:t>
      </w:r>
      <w:r w:rsidRPr="00312923">
        <w:rPr>
          <w:rFonts w:ascii="Cambria" w:hAnsi="Cambria"/>
          <w:sz w:val="22"/>
          <w:szCs w:val="22"/>
          <w:lang w:val="it-IT"/>
        </w:rPr>
        <w:t>ionate,</w:t>
      </w:r>
      <w:r w:rsidR="00B91F51" w:rsidRPr="00312923">
        <w:rPr>
          <w:rFonts w:ascii="Cambria" w:hAnsi="Cambria"/>
          <w:sz w:val="22"/>
          <w:szCs w:val="22"/>
          <w:lang w:val="it-IT"/>
        </w:rPr>
        <w:t xml:space="preserve"> </w:t>
      </w:r>
      <w:r w:rsidRPr="00312923">
        <w:rPr>
          <w:rFonts w:ascii="Cambria" w:hAnsi="Cambria"/>
          <w:sz w:val="22"/>
          <w:szCs w:val="22"/>
          <w:lang w:val="it-IT"/>
        </w:rPr>
        <w:t>raportat la situat</w:t>
      </w:r>
      <w:r w:rsidRPr="00312923">
        <w:rPr>
          <w:rFonts w:ascii="Cambria" w:hAnsi="Cambria" w:hint="eastAsia"/>
          <w:sz w:val="22"/>
          <w:szCs w:val="22"/>
          <w:lang w:val="it-IT"/>
        </w:rPr>
        <w:t>̦</w:t>
      </w:r>
      <w:r w:rsidRPr="00312923">
        <w:rPr>
          <w:rFonts w:ascii="Cambria" w:hAnsi="Cambria"/>
          <w:sz w:val="22"/>
          <w:szCs w:val="22"/>
          <w:lang w:val="it-IT"/>
        </w:rPr>
        <w:t>ia de fapt ret</w:t>
      </w:r>
      <w:r w:rsidRPr="00312923">
        <w:rPr>
          <w:rFonts w:ascii="Cambria" w:hAnsi="Cambria" w:hint="eastAsia"/>
          <w:sz w:val="22"/>
          <w:szCs w:val="22"/>
          <w:lang w:val="it-IT"/>
        </w:rPr>
        <w:t>̦</w:t>
      </w:r>
      <w:r w:rsidRPr="00312923">
        <w:rPr>
          <w:rFonts w:ascii="Cambria" w:hAnsi="Cambria"/>
          <w:sz w:val="22"/>
          <w:szCs w:val="22"/>
          <w:lang w:val="it-IT"/>
        </w:rPr>
        <w:t>inuta de organul de control</w:t>
      </w:r>
    </w:p>
    <w:p w14:paraId="21448FAE" w14:textId="3B0CEB4A" w:rsidR="005355DB" w:rsidRPr="00312923" w:rsidRDefault="006D79BB" w:rsidP="006D79BB">
      <w:pPr>
        <w:spacing w:before="120" w:after="120" w:line="240" w:lineRule="auto"/>
        <w:jc w:val="both"/>
        <w:rPr>
          <w:rFonts w:ascii="Cambria" w:hAnsi="Cambria"/>
          <w:sz w:val="22"/>
          <w:szCs w:val="22"/>
          <w:lang w:val="ro-RO"/>
        </w:rPr>
      </w:pPr>
      <w:r w:rsidRPr="00312923">
        <w:rPr>
          <w:rFonts w:ascii="Cambria" w:hAnsi="Cambria" w:cstheme="minorHAnsi"/>
          <w:sz w:val="22"/>
          <w:szCs w:val="22"/>
          <w:lang w:val="ro-RO"/>
        </w:rPr>
        <w:lastRenderedPageBreak/>
        <w:t>Reamintim faptul c</w:t>
      </w:r>
      <w:r w:rsidR="00D71868" w:rsidRPr="00312923">
        <w:rPr>
          <w:rFonts w:ascii="Cambria" w:hAnsi="Cambria" w:cstheme="minorHAnsi"/>
          <w:sz w:val="22"/>
          <w:szCs w:val="22"/>
          <w:lang w:val="ro-RO"/>
        </w:rPr>
        <w:t>ă</w:t>
      </w:r>
      <w:r w:rsidRPr="00312923">
        <w:rPr>
          <w:rFonts w:ascii="Cambria" w:hAnsi="Cambria" w:cstheme="minorHAnsi"/>
          <w:sz w:val="22"/>
          <w:szCs w:val="22"/>
          <w:lang w:val="ro-RO"/>
        </w:rPr>
        <w:t xml:space="preserve">  în cadrul documentelor întocmite de către ANRE se reţine că - </w:t>
      </w:r>
      <w:r w:rsidRPr="00312923">
        <w:rPr>
          <w:rFonts w:ascii="Cambria" w:hAnsi="Cambria" w:cstheme="minorHAnsi"/>
          <w:i/>
          <w:iCs/>
          <w:sz w:val="22"/>
          <w:szCs w:val="22"/>
          <w:lang w:val="ro-RO"/>
        </w:rPr>
        <w:t xml:space="preserve">nu există elemente care sa încadreze „tranzacţiile suspecte” în categoria tranzacţiilor concertate, că nu  au putut identifica probe din care să rezulte că Tinmar a urmărit în mod  intenţionat să manipuleze piaţa si că nu există nicio probă  în sensul existenței vreunei înțelegeri sau vreunui comportament concertat între cele 2 părţi implicate’’. </w:t>
      </w:r>
      <w:r w:rsidR="00B91F51" w:rsidRPr="00312923">
        <w:rPr>
          <w:rFonts w:ascii="Cambria" w:hAnsi="Cambria"/>
          <w:sz w:val="22"/>
          <w:szCs w:val="22"/>
          <w:lang w:val="ro-RO"/>
        </w:rPr>
        <w:t>Cu toate acestea, autoritatea, dintr-o eroare de interpretare a prevederilor legale s</w:t>
      </w:r>
      <w:r w:rsidR="00B91F51" w:rsidRPr="00312923">
        <w:rPr>
          <w:rFonts w:ascii="Cambria" w:hAnsi="Cambria" w:hint="eastAsia"/>
          <w:sz w:val="22"/>
          <w:szCs w:val="22"/>
          <w:lang w:val="ro-RO"/>
        </w:rPr>
        <w:t>̦</w:t>
      </w:r>
      <w:r w:rsidR="00B91F51" w:rsidRPr="00312923">
        <w:rPr>
          <w:rFonts w:ascii="Cambria" w:hAnsi="Cambria"/>
          <w:sz w:val="22"/>
          <w:szCs w:val="22"/>
          <w:lang w:val="ro-RO"/>
        </w:rPr>
        <w:t>i fara o analiza reala s</w:t>
      </w:r>
      <w:r w:rsidR="00B91F51" w:rsidRPr="00312923">
        <w:rPr>
          <w:rFonts w:ascii="Cambria" w:hAnsi="Cambria" w:hint="eastAsia"/>
          <w:sz w:val="22"/>
          <w:szCs w:val="22"/>
          <w:lang w:val="ro-RO"/>
        </w:rPr>
        <w:t>̦</w:t>
      </w:r>
      <w:r w:rsidR="00B91F51" w:rsidRPr="00312923">
        <w:rPr>
          <w:rFonts w:ascii="Cambria" w:hAnsi="Cambria"/>
          <w:sz w:val="22"/>
          <w:szCs w:val="22"/>
          <w:lang w:val="ro-RO"/>
        </w:rPr>
        <w:t>i aprofundata a</w:t>
      </w:r>
      <w:r w:rsidR="00B45C2E" w:rsidRPr="00312923">
        <w:rPr>
          <w:rFonts w:ascii="Cambria" w:hAnsi="Cambria"/>
          <w:sz w:val="22"/>
          <w:szCs w:val="22"/>
          <w:lang w:val="ro-RO"/>
        </w:rPr>
        <w:t xml:space="preserve"> </w:t>
      </w:r>
      <w:r w:rsidR="00B91F51" w:rsidRPr="00312923">
        <w:rPr>
          <w:rFonts w:ascii="Cambria" w:hAnsi="Cambria"/>
          <w:sz w:val="22"/>
          <w:szCs w:val="22"/>
          <w:lang w:val="ro-RO"/>
        </w:rPr>
        <w:t>detaliilor tranzact</w:t>
      </w:r>
      <w:r w:rsidR="00B91F51" w:rsidRPr="00312923">
        <w:rPr>
          <w:rFonts w:ascii="Cambria" w:hAnsi="Cambria" w:hint="eastAsia"/>
          <w:sz w:val="22"/>
          <w:szCs w:val="22"/>
          <w:lang w:val="ro-RO"/>
        </w:rPr>
        <w:t>̦</w:t>
      </w:r>
      <w:r w:rsidR="00B91F51" w:rsidRPr="00312923">
        <w:rPr>
          <w:rFonts w:ascii="Cambria" w:hAnsi="Cambria"/>
          <w:sz w:val="22"/>
          <w:szCs w:val="22"/>
          <w:lang w:val="ro-RO"/>
        </w:rPr>
        <w:t>iilor s</w:t>
      </w:r>
      <w:r w:rsidR="00B91F51" w:rsidRPr="00312923">
        <w:rPr>
          <w:rFonts w:ascii="Cambria" w:hAnsi="Cambria" w:hint="eastAsia"/>
          <w:sz w:val="22"/>
          <w:szCs w:val="22"/>
          <w:lang w:val="ro-RO"/>
        </w:rPr>
        <w:t>̦</w:t>
      </w:r>
      <w:r w:rsidR="00B91F51" w:rsidRPr="00312923">
        <w:rPr>
          <w:rFonts w:ascii="Cambria" w:hAnsi="Cambria"/>
          <w:sz w:val="22"/>
          <w:szCs w:val="22"/>
          <w:lang w:val="ro-RO"/>
        </w:rPr>
        <w:t>i a efectelor acestora asupra piet</w:t>
      </w:r>
      <w:r w:rsidR="00B91F51" w:rsidRPr="00312923">
        <w:rPr>
          <w:rFonts w:ascii="Cambria" w:hAnsi="Cambria" w:hint="eastAsia"/>
          <w:sz w:val="22"/>
          <w:szCs w:val="22"/>
          <w:lang w:val="ro-RO"/>
        </w:rPr>
        <w:t>̦</w:t>
      </w:r>
      <w:r w:rsidR="00B91F51" w:rsidRPr="00312923">
        <w:rPr>
          <w:rFonts w:ascii="Cambria" w:hAnsi="Cambria"/>
          <w:sz w:val="22"/>
          <w:szCs w:val="22"/>
          <w:lang w:val="ro-RO"/>
        </w:rPr>
        <w:t>ei, a apreciat ca poate dispune aplicarea unei</w:t>
      </w:r>
      <w:r w:rsidR="00B45C2E" w:rsidRPr="00312923">
        <w:rPr>
          <w:rFonts w:ascii="Cambria" w:hAnsi="Cambria"/>
          <w:sz w:val="22"/>
          <w:szCs w:val="22"/>
          <w:lang w:val="ro-RO"/>
        </w:rPr>
        <w:t xml:space="preserve"> </w:t>
      </w:r>
      <w:r w:rsidR="00B91F51" w:rsidRPr="00312923">
        <w:rPr>
          <w:rFonts w:ascii="Cambria" w:hAnsi="Cambria"/>
          <w:sz w:val="22"/>
          <w:szCs w:val="22"/>
          <w:lang w:val="ro-RO"/>
        </w:rPr>
        <w:t>sanct</w:t>
      </w:r>
      <w:r w:rsidR="00B91F51" w:rsidRPr="00312923">
        <w:rPr>
          <w:rFonts w:ascii="Cambria" w:hAnsi="Cambria" w:hint="eastAsia"/>
          <w:sz w:val="22"/>
          <w:szCs w:val="22"/>
          <w:lang w:val="ro-RO"/>
        </w:rPr>
        <w:t>̦</w:t>
      </w:r>
      <w:r w:rsidR="00B91F51" w:rsidRPr="00312923">
        <w:rPr>
          <w:rFonts w:ascii="Cambria" w:hAnsi="Cambria"/>
          <w:sz w:val="22"/>
          <w:szCs w:val="22"/>
          <w:lang w:val="ro-RO"/>
        </w:rPr>
        <w:t>iuni chiar s</w:t>
      </w:r>
      <w:r w:rsidR="00B91F51" w:rsidRPr="00312923">
        <w:rPr>
          <w:rFonts w:ascii="Cambria" w:hAnsi="Cambria" w:hint="eastAsia"/>
          <w:sz w:val="22"/>
          <w:szCs w:val="22"/>
          <w:lang w:val="ro-RO"/>
        </w:rPr>
        <w:t>̦</w:t>
      </w:r>
      <w:r w:rsidR="00B91F51" w:rsidRPr="00312923">
        <w:rPr>
          <w:rFonts w:ascii="Cambria" w:hAnsi="Cambria"/>
          <w:sz w:val="22"/>
          <w:szCs w:val="22"/>
          <w:lang w:val="ro-RO"/>
        </w:rPr>
        <w:t xml:space="preserve">i </w:t>
      </w:r>
      <w:r w:rsidR="00B91F51" w:rsidRPr="00312923">
        <w:rPr>
          <w:rFonts w:ascii="Cambria" w:hAnsi="Cambria" w:hint="eastAsia"/>
          <w:sz w:val="22"/>
          <w:szCs w:val="22"/>
          <w:lang w:val="ro-RO"/>
        </w:rPr>
        <w:t>ı̂</w:t>
      </w:r>
      <w:r w:rsidR="00B91F51" w:rsidRPr="00312923">
        <w:rPr>
          <w:rFonts w:ascii="Cambria" w:hAnsi="Cambria"/>
          <w:sz w:val="22"/>
          <w:szCs w:val="22"/>
          <w:lang w:val="ro-RO"/>
        </w:rPr>
        <w:t>n lipsa unor probe care sa sust</w:t>
      </w:r>
      <w:r w:rsidR="00B91F51" w:rsidRPr="00312923">
        <w:rPr>
          <w:rFonts w:ascii="Cambria" w:hAnsi="Cambria" w:hint="eastAsia"/>
          <w:sz w:val="22"/>
          <w:szCs w:val="22"/>
          <w:lang w:val="ro-RO"/>
        </w:rPr>
        <w:t>̦</w:t>
      </w:r>
      <w:r w:rsidR="00B91F51" w:rsidRPr="00312923">
        <w:rPr>
          <w:rFonts w:ascii="Cambria" w:hAnsi="Cambria"/>
          <w:sz w:val="22"/>
          <w:szCs w:val="22"/>
          <w:lang w:val="ro-RO"/>
        </w:rPr>
        <w:t>ina existent</w:t>
      </w:r>
      <w:r w:rsidR="00B91F51" w:rsidRPr="00312923">
        <w:rPr>
          <w:rFonts w:ascii="Cambria" w:hAnsi="Cambria" w:hint="eastAsia"/>
          <w:sz w:val="22"/>
          <w:szCs w:val="22"/>
          <w:lang w:val="ro-RO"/>
        </w:rPr>
        <w:t>̦</w:t>
      </w:r>
      <w:r w:rsidR="00B91F51" w:rsidRPr="00312923">
        <w:rPr>
          <w:rFonts w:ascii="Cambria" w:hAnsi="Cambria"/>
          <w:sz w:val="22"/>
          <w:szCs w:val="22"/>
          <w:lang w:val="ro-RO"/>
        </w:rPr>
        <w:t>a unei conduite sanct</w:t>
      </w:r>
      <w:r w:rsidR="00B91F51" w:rsidRPr="00312923">
        <w:rPr>
          <w:rFonts w:ascii="Cambria" w:hAnsi="Cambria" w:hint="eastAsia"/>
          <w:sz w:val="22"/>
          <w:szCs w:val="22"/>
          <w:lang w:val="ro-RO"/>
        </w:rPr>
        <w:t>̦</w:t>
      </w:r>
      <w:r w:rsidR="00B91F51" w:rsidRPr="00312923">
        <w:rPr>
          <w:rFonts w:ascii="Cambria" w:hAnsi="Cambria"/>
          <w:sz w:val="22"/>
          <w:szCs w:val="22"/>
          <w:lang w:val="ro-RO"/>
        </w:rPr>
        <w:t>ionabile.</w:t>
      </w:r>
    </w:p>
    <w:p w14:paraId="224E2731" w14:textId="549CDFDA" w:rsidR="006D78DB" w:rsidRPr="00312923" w:rsidRDefault="006D78DB" w:rsidP="007A3FBA">
      <w:pPr>
        <w:jc w:val="both"/>
        <w:rPr>
          <w:rFonts w:ascii="Cambria" w:hAnsi="Cambria"/>
          <w:sz w:val="22"/>
          <w:szCs w:val="22"/>
          <w:lang w:val="it-IT"/>
        </w:rPr>
      </w:pPr>
      <w:r w:rsidRPr="00312923">
        <w:rPr>
          <w:rFonts w:ascii="Cambria" w:hAnsi="Cambria"/>
          <w:sz w:val="22"/>
          <w:szCs w:val="22"/>
          <w:lang w:val="it-IT"/>
        </w:rPr>
        <w:t>Manipularea pieței presupune, prin natura sa, un ansamblu de acțiuni complexe, concertate și intenționate, menite să creeze distorsiuni artificiale ale prețului sau ale funcționării pieței, condiții care nu se regăsesc în niciuna dintre operațiunile derulate de societățile din grupul Tinmar. Suntem convinși că toate demersurile întreprinse de societatea noastră pentru stabilirea adevărului vor evidenția în mod clar faptul că nu am avut niciodată intenția și nici nu ne-am aflat în situația de a manipula piața, iar sancțiunile aplicate în acest context de către ANRE au avut la bază o interpretare eronată a dispozițiilor legale incidente.</w:t>
      </w:r>
    </w:p>
    <w:p w14:paraId="73A26343" w14:textId="00059743" w:rsidR="000A4D59" w:rsidRPr="00312923" w:rsidRDefault="000A4D59" w:rsidP="000A4D59">
      <w:pPr>
        <w:jc w:val="both"/>
        <w:rPr>
          <w:rFonts w:ascii="Cambria" w:hAnsi="Cambria"/>
          <w:sz w:val="22"/>
          <w:szCs w:val="22"/>
          <w:lang w:val="it-IT"/>
        </w:rPr>
      </w:pPr>
      <w:r w:rsidRPr="00312923">
        <w:rPr>
          <w:rFonts w:ascii="Cambria" w:hAnsi="Cambria"/>
          <w:sz w:val="22"/>
          <w:szCs w:val="22"/>
          <w:lang w:val="it-IT"/>
        </w:rPr>
        <w:t xml:space="preserve">Ulterior aplicării acestor amenzi, </w:t>
      </w:r>
      <w:r w:rsidR="00440A57" w:rsidRPr="00312923">
        <w:rPr>
          <w:rFonts w:ascii="Cambria" w:hAnsi="Cambria"/>
          <w:sz w:val="22"/>
          <w:szCs w:val="22"/>
          <w:lang w:val="it-IT"/>
        </w:rPr>
        <w:t xml:space="preserve">ianuarie 2024, </w:t>
      </w:r>
      <w:r w:rsidRPr="00312923">
        <w:rPr>
          <w:rFonts w:ascii="Cambria" w:hAnsi="Cambria"/>
          <w:sz w:val="22"/>
          <w:szCs w:val="22"/>
          <w:lang w:val="it-IT"/>
        </w:rPr>
        <w:t>ANRE a colaborat cu ACER – autoritatea europeană competentă în domeniul energiei – în vederea analizării situațiilor avute în vedere, în cadrul atribuțiilor prevăzute de Regulamentul REMIT. Investigațiile desfășurate ulterior în același scop au avut la bază o analiză substanțial mai complexă și mai aprofundată a situației de fapt și a realităților pieței de energie, prin introducerea unor elemente suplimentare de referință, inclusiv analiza prețului contrafactual, și prin evaluarea comportamentelor investigate în spiritul și în litera Regulamentului REMIT. În urma acestei analize, nu au fost aplicate amenzi, deși faptele investigate au avut același element declanșator, respectiv sesizări formulate de OPCOM ca fiind tranzacții suspecte de manipulare a pieței, ceea ce confirmă diferența de abordare și de standard de evaluare aplicat ulterior.</w:t>
      </w:r>
    </w:p>
    <w:p w14:paraId="28CCE638" w14:textId="6058ED8C" w:rsidR="00DD45DC" w:rsidRPr="00312923" w:rsidRDefault="00DD45DC" w:rsidP="00DD45DC">
      <w:pPr>
        <w:jc w:val="both"/>
        <w:rPr>
          <w:rFonts w:ascii="Cambria" w:hAnsi="Cambria"/>
          <w:sz w:val="22"/>
          <w:szCs w:val="22"/>
          <w:lang w:val="it-IT"/>
        </w:rPr>
      </w:pPr>
      <w:r w:rsidRPr="00312923">
        <w:rPr>
          <w:rFonts w:ascii="Cambria" w:hAnsi="Cambria"/>
          <w:sz w:val="22"/>
          <w:szCs w:val="22"/>
          <w:lang w:val="it-IT"/>
        </w:rPr>
        <w:t>Participarea la procedurile de achiziție publică organizate de autoritățile publice reprezintă o componentă firească a activității curente a oricărui furnizor de energie. Societățile din grupul Tinmar participă la aceste licitații în aceleași condiții ca toți ceilalți furnizori, depunând oferte concepute în funcție de specificul consumului clientului final, durata contractuală, profilul de risc și condițiile pieței la momentul respectiv.</w:t>
      </w:r>
    </w:p>
    <w:p w14:paraId="073FAA4D" w14:textId="2DAE5CA2" w:rsidR="0086396F" w:rsidRPr="00312923" w:rsidRDefault="0086396F" w:rsidP="00DD45DC">
      <w:pPr>
        <w:jc w:val="both"/>
        <w:rPr>
          <w:rFonts w:ascii="Cambria" w:hAnsi="Cambria"/>
          <w:sz w:val="22"/>
          <w:szCs w:val="22"/>
          <w:lang w:val="pt-BR"/>
        </w:rPr>
      </w:pPr>
      <w:r w:rsidRPr="00312923">
        <w:rPr>
          <w:rFonts w:ascii="Cambria" w:hAnsi="Cambria"/>
          <w:sz w:val="22"/>
          <w:szCs w:val="22"/>
          <w:lang w:val="it-IT"/>
        </w:rPr>
        <w:t xml:space="preserve">Acest mod de lucru nu este cu nimic ieșit din comun și nu se abate de la uzanțele pieței, nefiind vorba despre atribuiri directe sau tratamente preferențiale. </w:t>
      </w:r>
      <w:r w:rsidRPr="00312923">
        <w:rPr>
          <w:rFonts w:ascii="Cambria" w:hAnsi="Cambria"/>
          <w:sz w:val="22"/>
          <w:szCs w:val="22"/>
          <w:lang w:val="pt-BR"/>
        </w:rPr>
        <w:t>Rolul licitațiilor publice este tocmai acela de a crea concurență între ofertanți și de a permite autorităților contractante să selecteze oferta cea mai avantajoasă, iar atribuirea contractelor se realizează exclusiv în funcție de criteriile stabilite în documentațiile de atribuire.</w:t>
      </w:r>
    </w:p>
    <w:p w14:paraId="57A8C24B" w14:textId="0F2C9604" w:rsidR="00DD45DC" w:rsidRPr="00312923" w:rsidRDefault="00DD45DC" w:rsidP="00DD45DC">
      <w:pPr>
        <w:jc w:val="both"/>
        <w:rPr>
          <w:rFonts w:ascii="Cambria" w:hAnsi="Cambria"/>
          <w:sz w:val="22"/>
          <w:szCs w:val="22"/>
          <w:lang w:val="pt-BR"/>
        </w:rPr>
      </w:pPr>
      <w:r w:rsidRPr="00312923">
        <w:rPr>
          <w:rFonts w:ascii="Cambria" w:hAnsi="Cambria"/>
          <w:sz w:val="22"/>
          <w:szCs w:val="22"/>
          <w:lang w:val="pt-BR"/>
        </w:rPr>
        <w:t xml:space="preserve">Atunci când condițiile comerciale oferite de societățile noastre sunt mai avantajoase decât cele ale celorlalți participanți, contractele </w:t>
      </w:r>
      <w:r w:rsidR="00777316" w:rsidRPr="00312923">
        <w:rPr>
          <w:rFonts w:ascii="Cambria" w:hAnsi="Cambria"/>
          <w:sz w:val="22"/>
          <w:szCs w:val="22"/>
          <w:lang w:val="pt-BR"/>
        </w:rPr>
        <w:t xml:space="preserve">ne </w:t>
      </w:r>
      <w:r w:rsidRPr="00312923">
        <w:rPr>
          <w:rFonts w:ascii="Cambria" w:hAnsi="Cambria"/>
          <w:sz w:val="22"/>
          <w:szCs w:val="22"/>
          <w:lang w:val="pt-BR"/>
        </w:rPr>
        <w:t>sunt atribuite iar în situațiile în care există oferte mai competitive, atribuirea revine altui ofertant, conform regulilor aplicabile în materia achizițiilor publice.</w:t>
      </w:r>
    </w:p>
    <w:p w14:paraId="37FE6CDC" w14:textId="77777777" w:rsidR="006D78DB" w:rsidRPr="00312923" w:rsidRDefault="006D78DB" w:rsidP="006D78DB">
      <w:pPr>
        <w:jc w:val="both"/>
        <w:rPr>
          <w:rFonts w:ascii="Cambria" w:hAnsi="Cambria"/>
          <w:sz w:val="22"/>
          <w:szCs w:val="22"/>
          <w:lang w:val="pt-BR"/>
        </w:rPr>
      </w:pPr>
      <w:r w:rsidRPr="00312923">
        <w:rPr>
          <w:rFonts w:ascii="Cambria" w:hAnsi="Cambria"/>
          <w:sz w:val="22"/>
          <w:szCs w:val="22"/>
          <w:lang w:val="pt-BR"/>
        </w:rPr>
        <w:t>În ceea ce privește afirmația autorului articolului conform căreia „</w:t>
      </w:r>
      <w:r w:rsidRPr="00312923">
        <w:rPr>
          <w:rFonts w:ascii="Cambria" w:hAnsi="Cambria"/>
          <w:i/>
          <w:iCs/>
          <w:sz w:val="22"/>
          <w:szCs w:val="22"/>
          <w:lang w:val="pt-BR"/>
        </w:rPr>
        <w:t>Trebuie precizat că amenzile contravenționale aplicate de ANRE se constituie integral ca venit la bugetul de stat, iar pierderea acestor procese – inclusiv cu Tinmar Energy – ar genera prejudicii financiare de ordinul a sute de milioane de euro la bugetul statului”</w:t>
      </w:r>
      <w:r w:rsidRPr="00312923">
        <w:rPr>
          <w:rFonts w:ascii="Cambria" w:hAnsi="Cambria"/>
          <w:sz w:val="22"/>
          <w:szCs w:val="22"/>
          <w:lang w:val="pt-BR"/>
        </w:rPr>
        <w:t xml:space="preserve">, aceasta induce în mod eronat ideea că bugetul de stat s-ar forma având în vedere, în principal, această categorie de venituri. De fapt, amenzile reprezintă venituri din sancțiuni, cu caracter accesoriu și ocazional, și nu constituie o bază de planificare fiscală. Amenzile aplicate de autoritățile cu atribuții de control sunt contestabile, iar instanțele de judecată analizează legalitatea și temeinicia </w:t>
      </w:r>
      <w:r w:rsidRPr="00312923">
        <w:rPr>
          <w:rFonts w:ascii="Cambria" w:hAnsi="Cambria"/>
          <w:sz w:val="22"/>
          <w:szCs w:val="22"/>
          <w:lang w:val="pt-BR"/>
        </w:rPr>
        <w:lastRenderedPageBreak/>
        <w:t>sancțiunilor exclusiv prin raportare la situația de fapt și legislația incidentă, nu prin raportare la considerente bugetare.</w:t>
      </w:r>
    </w:p>
    <w:p w14:paraId="123183CF" w14:textId="4B1069F9" w:rsidR="00DC6C3C" w:rsidRPr="00DD4E20" w:rsidRDefault="006D78DB" w:rsidP="006D78DB">
      <w:pPr>
        <w:jc w:val="both"/>
        <w:rPr>
          <w:rFonts w:ascii="Cambria" w:hAnsi="Cambria"/>
          <w:sz w:val="22"/>
          <w:szCs w:val="22"/>
          <w:lang w:val="pt-BR"/>
        </w:rPr>
      </w:pPr>
      <w:r w:rsidRPr="00312923">
        <w:rPr>
          <w:rFonts w:ascii="Cambria" w:hAnsi="Cambria"/>
          <w:sz w:val="22"/>
          <w:szCs w:val="22"/>
          <w:lang w:val="pt-BR"/>
        </w:rPr>
        <w:t>În final, invităm cititorii să analizeze informațiile prezentate în articol în mod critic și echilibrat, având în vedere și punctul de vedere al societăților din grupul Tinmar, exprimat constant, public și documentat, ori de câte ori acest subiect a fost adus în atenția opiniei publice.</w:t>
      </w:r>
    </w:p>
    <w:sectPr w:rsidR="00DC6C3C" w:rsidRPr="00DD4E20" w:rsidSect="006D78D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E40E5"/>
    <w:multiLevelType w:val="multilevel"/>
    <w:tmpl w:val="C4E65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2730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8DB"/>
    <w:rsid w:val="000900D0"/>
    <w:rsid w:val="000A4D59"/>
    <w:rsid w:val="001019AE"/>
    <w:rsid w:val="00205F77"/>
    <w:rsid w:val="002410B7"/>
    <w:rsid w:val="0026413C"/>
    <w:rsid w:val="002B6D46"/>
    <w:rsid w:val="002C2C92"/>
    <w:rsid w:val="00312923"/>
    <w:rsid w:val="00333163"/>
    <w:rsid w:val="003368C8"/>
    <w:rsid w:val="00440A57"/>
    <w:rsid w:val="00442D08"/>
    <w:rsid w:val="005355DB"/>
    <w:rsid w:val="00553BD9"/>
    <w:rsid w:val="005D3090"/>
    <w:rsid w:val="005E3459"/>
    <w:rsid w:val="00620801"/>
    <w:rsid w:val="006527C2"/>
    <w:rsid w:val="006D78DB"/>
    <w:rsid w:val="006D79BB"/>
    <w:rsid w:val="00777316"/>
    <w:rsid w:val="00796469"/>
    <w:rsid w:val="007A3FBA"/>
    <w:rsid w:val="007F602A"/>
    <w:rsid w:val="007F70BA"/>
    <w:rsid w:val="00850748"/>
    <w:rsid w:val="0086396F"/>
    <w:rsid w:val="008B4DD6"/>
    <w:rsid w:val="00960B54"/>
    <w:rsid w:val="009A1341"/>
    <w:rsid w:val="00A52C89"/>
    <w:rsid w:val="00A75D15"/>
    <w:rsid w:val="00AD38F3"/>
    <w:rsid w:val="00B45C2E"/>
    <w:rsid w:val="00B6748F"/>
    <w:rsid w:val="00B91F51"/>
    <w:rsid w:val="00BE149C"/>
    <w:rsid w:val="00C47362"/>
    <w:rsid w:val="00C70F9C"/>
    <w:rsid w:val="00C914DA"/>
    <w:rsid w:val="00D43182"/>
    <w:rsid w:val="00D563DE"/>
    <w:rsid w:val="00D71868"/>
    <w:rsid w:val="00D84140"/>
    <w:rsid w:val="00DC4B5F"/>
    <w:rsid w:val="00DC6C3C"/>
    <w:rsid w:val="00DD45DC"/>
    <w:rsid w:val="00DD4E20"/>
    <w:rsid w:val="00E53AED"/>
    <w:rsid w:val="00ED16A2"/>
    <w:rsid w:val="00F159FD"/>
    <w:rsid w:val="00F433FF"/>
    <w:rsid w:val="00F56DC2"/>
    <w:rsid w:val="00FA1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8A29C"/>
  <w15:chartTrackingRefBased/>
  <w15:docId w15:val="{A80B27D1-683E-46A4-9D3B-04F3D60A7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8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8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8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8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8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8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8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8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8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8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8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8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8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8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8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8DB"/>
    <w:rPr>
      <w:rFonts w:eastAsiaTheme="majorEastAsia" w:cstheme="majorBidi"/>
      <w:color w:val="272727" w:themeColor="text1" w:themeTint="D8"/>
    </w:rPr>
  </w:style>
  <w:style w:type="paragraph" w:styleId="Title">
    <w:name w:val="Title"/>
    <w:basedOn w:val="Normal"/>
    <w:next w:val="Normal"/>
    <w:link w:val="TitleChar"/>
    <w:uiPriority w:val="10"/>
    <w:qFormat/>
    <w:rsid w:val="006D7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8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8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8DB"/>
    <w:pPr>
      <w:spacing w:before="160"/>
      <w:jc w:val="center"/>
    </w:pPr>
    <w:rPr>
      <w:i/>
      <w:iCs/>
      <w:color w:val="404040" w:themeColor="text1" w:themeTint="BF"/>
    </w:rPr>
  </w:style>
  <w:style w:type="character" w:customStyle="1" w:styleId="QuoteChar">
    <w:name w:val="Quote Char"/>
    <w:basedOn w:val="DefaultParagraphFont"/>
    <w:link w:val="Quote"/>
    <w:uiPriority w:val="29"/>
    <w:rsid w:val="006D78DB"/>
    <w:rPr>
      <w:i/>
      <w:iCs/>
      <w:color w:val="404040" w:themeColor="text1" w:themeTint="BF"/>
    </w:rPr>
  </w:style>
  <w:style w:type="paragraph" w:styleId="ListParagraph">
    <w:name w:val="List Paragraph"/>
    <w:basedOn w:val="Normal"/>
    <w:uiPriority w:val="34"/>
    <w:qFormat/>
    <w:rsid w:val="006D78DB"/>
    <w:pPr>
      <w:ind w:left="720"/>
      <w:contextualSpacing/>
    </w:pPr>
  </w:style>
  <w:style w:type="character" w:styleId="IntenseEmphasis">
    <w:name w:val="Intense Emphasis"/>
    <w:basedOn w:val="DefaultParagraphFont"/>
    <w:uiPriority w:val="21"/>
    <w:qFormat/>
    <w:rsid w:val="006D78DB"/>
    <w:rPr>
      <w:i/>
      <w:iCs/>
      <w:color w:val="0F4761" w:themeColor="accent1" w:themeShade="BF"/>
    </w:rPr>
  </w:style>
  <w:style w:type="paragraph" w:styleId="IntenseQuote">
    <w:name w:val="Intense Quote"/>
    <w:basedOn w:val="Normal"/>
    <w:next w:val="Normal"/>
    <w:link w:val="IntenseQuoteChar"/>
    <w:uiPriority w:val="30"/>
    <w:qFormat/>
    <w:rsid w:val="006D7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8DB"/>
    <w:rPr>
      <w:i/>
      <w:iCs/>
      <w:color w:val="0F4761" w:themeColor="accent1" w:themeShade="BF"/>
    </w:rPr>
  </w:style>
  <w:style w:type="character" w:styleId="IntenseReference">
    <w:name w:val="Intense Reference"/>
    <w:basedOn w:val="DefaultParagraphFont"/>
    <w:uiPriority w:val="32"/>
    <w:qFormat/>
    <w:rsid w:val="006D78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1682</Words>
  <Characters>9591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Bodron</dc:creator>
  <cp:keywords/>
  <dc:description/>
  <cp:lastModifiedBy>Online</cp:lastModifiedBy>
  <cp:revision>2</cp:revision>
  <cp:lastPrinted>2025-12-31T09:29:00Z</cp:lastPrinted>
  <dcterms:created xsi:type="dcterms:W3CDTF">2026-01-05T12:06:00Z</dcterms:created>
  <dcterms:modified xsi:type="dcterms:W3CDTF">2026-01-05T12:06:00Z</dcterms:modified>
</cp:coreProperties>
</file>